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4" w:firstLineChars="200"/>
        <w:rPr>
          <w:rFonts w:hint="eastAsia"/>
          <w:b/>
          <w:bCs/>
          <w:color w:val="auto"/>
          <w:szCs w:val="32"/>
          <w:highlight w:val="none"/>
        </w:rPr>
      </w:pPr>
    </w:p>
    <w:p>
      <w:pPr>
        <w:spacing w:line="72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湖南省房屋建筑和市政基础设施</w:t>
      </w:r>
    </w:p>
    <w:p>
      <w:pPr>
        <w:spacing w:line="72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工程施工招标评标办</w:t>
      </w:r>
      <w:bookmarkStart w:id="0" w:name="_GoBack"/>
      <w:bookmarkEnd w:id="0"/>
      <w:r>
        <w:rPr>
          <w:rFonts w:hint="eastAsia" w:ascii="方正小标宋简体" w:eastAsia="方正小标宋简体"/>
          <w:color w:val="auto"/>
          <w:sz w:val="44"/>
          <w:szCs w:val="44"/>
          <w:highlight w:val="none"/>
        </w:rPr>
        <w:t>法</w:t>
      </w:r>
    </w:p>
    <w:p>
      <w:pPr>
        <w:spacing w:line="72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w:t>
      </w:r>
      <w:r>
        <w:rPr>
          <w:rFonts w:ascii="方正小标宋简体" w:eastAsia="方正小标宋简体"/>
          <w:color w:val="auto"/>
          <w:sz w:val="44"/>
          <w:szCs w:val="44"/>
          <w:highlight w:val="none"/>
        </w:rPr>
        <w:t>征求意见稿</w:t>
      </w:r>
      <w:r>
        <w:rPr>
          <w:rFonts w:hint="eastAsia" w:ascii="方正小标宋简体" w:eastAsia="方正小标宋简体"/>
          <w:color w:val="auto"/>
          <w:sz w:val="44"/>
          <w:szCs w:val="44"/>
          <w:highlight w:val="none"/>
        </w:rPr>
        <w:t>）</w:t>
      </w:r>
    </w:p>
    <w:p>
      <w:pPr>
        <w:ind w:firstLine="624" w:firstLineChars="200"/>
        <w:rPr>
          <w:rFonts w:hAnsi="仿宋_GB2312"/>
          <w:b/>
          <w:bCs/>
          <w:color w:val="auto"/>
          <w:szCs w:val="32"/>
          <w:highlight w:val="none"/>
        </w:rPr>
      </w:pPr>
    </w:p>
    <w:p>
      <w:pPr>
        <w:ind w:firstLine="624" w:firstLineChars="200"/>
        <w:rPr>
          <w:color w:val="auto"/>
          <w:szCs w:val="32"/>
          <w:highlight w:val="none"/>
        </w:rPr>
      </w:pPr>
      <w:r>
        <w:rPr>
          <w:rFonts w:hAnsi="仿宋_GB2312"/>
          <w:b/>
          <w:bCs/>
          <w:color w:val="auto"/>
          <w:szCs w:val="32"/>
          <w:highlight w:val="none"/>
        </w:rPr>
        <w:t>第一条</w:t>
      </w:r>
      <w:r>
        <w:rPr>
          <w:color w:val="auto"/>
          <w:szCs w:val="32"/>
          <w:highlight w:val="none"/>
        </w:rPr>
        <w:t xml:space="preserve">  </w:t>
      </w:r>
      <w:r>
        <w:rPr>
          <w:rFonts w:hAnsi="仿宋_GB2312"/>
          <w:color w:val="auto"/>
          <w:szCs w:val="32"/>
          <w:highlight w:val="none"/>
        </w:rPr>
        <w:t>为进一步规范我省房屋建筑和市政基础设施工程招标评标活动，维护招投标当事人的合法权益，根据《中华人民共和国建筑法》《中华人民共和国招标投标法》及其实施条例、《房屋建筑和市政基础设施工程施工招标投标管理办法》</w:t>
      </w:r>
      <w:r>
        <w:rPr>
          <w:bCs/>
          <w:color w:val="auto"/>
          <w:szCs w:val="32"/>
          <w:highlight w:val="none"/>
        </w:rPr>
        <w:t>（住房和城乡建设部令第43号）</w:t>
      </w:r>
      <w:r>
        <w:rPr>
          <w:rFonts w:hAnsi="仿宋_GB2312"/>
          <w:color w:val="auto"/>
          <w:szCs w:val="32"/>
          <w:highlight w:val="none"/>
        </w:rPr>
        <w:t>等</w:t>
      </w:r>
      <w:r>
        <w:rPr>
          <w:bCs/>
          <w:color w:val="auto"/>
          <w:szCs w:val="32"/>
          <w:highlight w:val="none"/>
        </w:rPr>
        <w:t>法律法规、规章和文件</w:t>
      </w:r>
      <w:r>
        <w:rPr>
          <w:rFonts w:hAnsi="仿宋_GB2312"/>
          <w:color w:val="auto"/>
          <w:szCs w:val="32"/>
          <w:highlight w:val="none"/>
        </w:rPr>
        <w:t>，结合我省实际，制定本办法。</w:t>
      </w:r>
    </w:p>
    <w:p>
      <w:pPr>
        <w:ind w:firstLine="624" w:firstLineChars="200"/>
        <w:rPr>
          <w:color w:val="auto"/>
          <w:szCs w:val="32"/>
          <w:highlight w:val="none"/>
        </w:rPr>
      </w:pPr>
      <w:r>
        <w:rPr>
          <w:rFonts w:hAnsi="仿宋_GB2312"/>
          <w:b/>
          <w:bCs/>
          <w:color w:val="auto"/>
          <w:szCs w:val="32"/>
          <w:highlight w:val="none"/>
        </w:rPr>
        <w:t>第二条</w:t>
      </w:r>
      <w:r>
        <w:rPr>
          <w:color w:val="auto"/>
          <w:szCs w:val="32"/>
          <w:highlight w:val="none"/>
        </w:rPr>
        <w:t xml:space="preserve">  </w:t>
      </w:r>
      <w:r>
        <w:rPr>
          <w:rFonts w:hAnsi="仿宋_GB2312"/>
          <w:color w:val="auto"/>
          <w:szCs w:val="32"/>
          <w:highlight w:val="none"/>
        </w:rPr>
        <w:t>在本省行政区域内依法必须进行招标的房屋建筑和市政基础设施工程施工招标评标活动</w:t>
      </w:r>
      <w:r>
        <w:rPr>
          <w:color w:val="auto"/>
          <w:szCs w:val="32"/>
          <w:highlight w:val="none"/>
        </w:rPr>
        <w:t>，</w:t>
      </w:r>
      <w:r>
        <w:rPr>
          <w:rFonts w:hAnsi="仿宋_GB2312"/>
          <w:color w:val="auto"/>
          <w:szCs w:val="32"/>
          <w:highlight w:val="none"/>
        </w:rPr>
        <w:t>适用本办法。</w:t>
      </w:r>
    </w:p>
    <w:p>
      <w:pPr>
        <w:ind w:firstLine="624" w:firstLineChars="200"/>
        <w:rPr>
          <w:color w:val="auto"/>
          <w:szCs w:val="32"/>
          <w:highlight w:val="none"/>
        </w:rPr>
      </w:pPr>
      <w:r>
        <w:rPr>
          <w:rFonts w:hAnsi="仿宋_GB2312"/>
          <w:b/>
          <w:bCs/>
          <w:color w:val="auto"/>
          <w:szCs w:val="32"/>
          <w:highlight w:val="none"/>
        </w:rPr>
        <w:t>第三条</w:t>
      </w:r>
      <w:r>
        <w:rPr>
          <w:color w:val="auto"/>
          <w:szCs w:val="32"/>
          <w:highlight w:val="none"/>
        </w:rPr>
        <w:t xml:space="preserve">  </w:t>
      </w:r>
      <w:r>
        <w:rPr>
          <w:rFonts w:hAnsi="仿宋_GB2312"/>
          <w:color w:val="auto"/>
          <w:szCs w:val="32"/>
          <w:highlight w:val="none"/>
        </w:rPr>
        <w:t>评标活动遵循公平、公正、科学、诚信、择优的原则，任何单位和个人不得非法干预或者影响评标过程和结果。</w:t>
      </w:r>
    </w:p>
    <w:p>
      <w:pPr>
        <w:ind w:firstLine="624" w:firstLineChars="200"/>
        <w:rPr>
          <w:color w:val="auto"/>
          <w:szCs w:val="32"/>
          <w:highlight w:val="none"/>
        </w:rPr>
      </w:pPr>
      <w:r>
        <w:rPr>
          <w:rFonts w:hAnsi="仿宋_GB2312"/>
          <w:b/>
          <w:bCs/>
          <w:color w:val="auto"/>
          <w:szCs w:val="32"/>
          <w:highlight w:val="none"/>
        </w:rPr>
        <w:t>第四条</w:t>
      </w:r>
      <w:r>
        <w:rPr>
          <w:color w:val="auto"/>
          <w:szCs w:val="32"/>
          <w:highlight w:val="none"/>
        </w:rPr>
        <w:t xml:space="preserve">  </w:t>
      </w:r>
      <w:r>
        <w:rPr>
          <w:rFonts w:hAnsi="仿宋_GB2312"/>
          <w:color w:val="auto"/>
          <w:szCs w:val="32"/>
          <w:highlight w:val="none"/>
        </w:rPr>
        <w:t>评标办法包括经评审的最低投标价法、综合评估法以及法律、法规允许的其他评标办法。</w:t>
      </w:r>
    </w:p>
    <w:p>
      <w:pPr>
        <w:ind w:firstLine="624" w:firstLineChars="200"/>
        <w:rPr>
          <w:color w:val="auto"/>
          <w:szCs w:val="32"/>
          <w:highlight w:val="none"/>
        </w:rPr>
      </w:pPr>
      <w:r>
        <w:rPr>
          <w:rFonts w:hAnsi="仿宋_GB2312"/>
          <w:b/>
          <w:bCs/>
          <w:color w:val="auto"/>
          <w:szCs w:val="32"/>
          <w:highlight w:val="none"/>
        </w:rPr>
        <w:t>第五条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资格审查分为资格预审和资格后审。</w:t>
      </w:r>
    </w:p>
    <w:p>
      <w:pPr>
        <w:ind w:firstLine="624" w:firstLineChars="200"/>
        <w:rPr>
          <w:color w:val="auto"/>
          <w:szCs w:val="32"/>
          <w:highlight w:val="none"/>
        </w:rPr>
      </w:pPr>
      <w:r>
        <w:rPr>
          <w:rFonts w:hAnsi="仿宋_GB2312"/>
          <w:color w:val="auto"/>
          <w:szCs w:val="32"/>
          <w:highlight w:val="none"/>
        </w:rPr>
        <w:t>资格预审，是指在投标前对潜在投标人进行的资格审查。资格后审，是指在开标后对投标人进行的资格审查。</w:t>
      </w:r>
    </w:p>
    <w:p>
      <w:pPr>
        <w:ind w:firstLine="624" w:firstLineChars="200"/>
        <w:rPr>
          <w:color w:val="auto"/>
          <w:szCs w:val="32"/>
          <w:highlight w:val="none"/>
        </w:rPr>
      </w:pPr>
      <w:r>
        <w:rPr>
          <w:rFonts w:hAnsi="仿宋_GB2312"/>
          <w:color w:val="auto"/>
          <w:szCs w:val="32"/>
          <w:highlight w:val="none"/>
        </w:rPr>
        <w:t>进行资格预审的，一般不再进行资格后审。</w:t>
      </w:r>
    </w:p>
    <w:p>
      <w:pPr>
        <w:ind w:firstLine="624" w:firstLineChars="200"/>
        <w:rPr>
          <w:color w:val="auto"/>
          <w:szCs w:val="32"/>
          <w:highlight w:val="none"/>
        </w:rPr>
      </w:pPr>
      <w:r>
        <w:rPr>
          <w:rFonts w:hAnsi="仿宋_GB2312"/>
          <w:b/>
          <w:bCs/>
          <w:color w:val="auto"/>
          <w:szCs w:val="32"/>
          <w:highlight w:val="none"/>
        </w:rPr>
        <w:t>第六条</w:t>
      </w:r>
      <w:r>
        <w:rPr>
          <w:color w:val="auto"/>
          <w:szCs w:val="32"/>
          <w:highlight w:val="none"/>
        </w:rPr>
        <w:t xml:space="preserve">  </w:t>
      </w:r>
      <w:r>
        <w:rPr>
          <w:rFonts w:hAnsi="仿宋_GB2312"/>
          <w:color w:val="auto"/>
          <w:szCs w:val="32"/>
          <w:highlight w:val="none"/>
        </w:rPr>
        <w:t>政府投资的房屋建筑和市政基础设施工程施工招标原则上采用资格后审。</w:t>
      </w:r>
    </w:p>
    <w:p>
      <w:pPr>
        <w:ind w:firstLine="624" w:firstLineChars="200"/>
        <w:rPr>
          <w:color w:val="auto"/>
          <w:szCs w:val="32"/>
          <w:highlight w:val="none"/>
        </w:rPr>
      </w:pPr>
      <w:r>
        <w:rPr>
          <w:rFonts w:hAnsi="仿宋_GB2312"/>
          <w:b/>
          <w:bCs/>
          <w:color w:val="auto"/>
          <w:szCs w:val="32"/>
          <w:highlight w:val="none"/>
        </w:rPr>
        <w:t>第七条</w:t>
      </w:r>
      <w:r>
        <w:rPr>
          <w:color w:val="auto"/>
          <w:szCs w:val="32"/>
          <w:highlight w:val="none"/>
        </w:rPr>
        <w:t xml:space="preserve">  </w:t>
      </w:r>
      <w:r>
        <w:rPr>
          <w:rFonts w:hAnsi="仿宋_GB2312"/>
          <w:color w:val="auto"/>
          <w:szCs w:val="32"/>
          <w:highlight w:val="none"/>
        </w:rPr>
        <w:t>资格预审采用合格制。</w:t>
      </w:r>
    </w:p>
    <w:p>
      <w:pPr>
        <w:ind w:firstLine="624" w:firstLineChars="200"/>
        <w:rPr>
          <w:color w:val="auto"/>
          <w:szCs w:val="32"/>
          <w:highlight w:val="none"/>
        </w:rPr>
      </w:pPr>
      <w:r>
        <w:rPr>
          <w:rFonts w:hAnsi="仿宋_GB2312"/>
          <w:b/>
          <w:bCs/>
          <w:color w:val="auto"/>
          <w:szCs w:val="32"/>
          <w:highlight w:val="none"/>
        </w:rPr>
        <w:t>第八条</w:t>
      </w:r>
      <w:r>
        <w:rPr>
          <w:color w:val="auto"/>
          <w:szCs w:val="32"/>
          <w:highlight w:val="none"/>
        </w:rPr>
        <w:t xml:space="preserve">  </w:t>
      </w:r>
      <w:r>
        <w:rPr>
          <w:rFonts w:hAnsi="仿宋_GB2312"/>
          <w:color w:val="auto"/>
          <w:szCs w:val="32"/>
          <w:highlight w:val="none"/>
        </w:rPr>
        <w:t>资格预审结束后，招标人应当及时向资格预审申请人发出资格预审结果通知书，告知通过资格预审的申请人获取招标文件的时间、地点和方式。</w:t>
      </w:r>
    </w:p>
    <w:p>
      <w:pPr>
        <w:ind w:firstLine="624" w:firstLineChars="200"/>
        <w:rPr>
          <w:color w:val="auto"/>
          <w:szCs w:val="32"/>
          <w:highlight w:val="none"/>
        </w:rPr>
      </w:pPr>
      <w:r>
        <w:rPr>
          <w:rFonts w:hAnsi="仿宋_GB2312"/>
          <w:color w:val="auto"/>
          <w:szCs w:val="32"/>
          <w:highlight w:val="none"/>
        </w:rPr>
        <w:t>资格预审结果的通知不应泄露通过资格预审申请人的名称和数量。</w:t>
      </w:r>
    </w:p>
    <w:p>
      <w:pPr>
        <w:ind w:firstLine="624" w:firstLineChars="200"/>
        <w:rPr>
          <w:color w:val="auto"/>
          <w:szCs w:val="32"/>
          <w:highlight w:val="none"/>
        </w:rPr>
      </w:pPr>
      <w:r>
        <w:rPr>
          <w:rFonts w:hAnsi="仿宋_GB2312"/>
          <w:color w:val="auto"/>
          <w:szCs w:val="32"/>
          <w:highlight w:val="none"/>
        </w:rPr>
        <w:t>通过资格预审申请人少于</w:t>
      </w:r>
      <w:r>
        <w:rPr>
          <w:color w:val="auto"/>
          <w:szCs w:val="32"/>
          <w:highlight w:val="none"/>
        </w:rPr>
        <w:t>3</w:t>
      </w:r>
      <w:r>
        <w:rPr>
          <w:rFonts w:hAnsi="仿宋_GB2312"/>
          <w:color w:val="auto"/>
          <w:szCs w:val="32"/>
          <w:highlight w:val="none"/>
        </w:rPr>
        <w:t>个的应当重新招标。</w:t>
      </w:r>
    </w:p>
    <w:p>
      <w:pPr>
        <w:ind w:firstLine="624" w:firstLineChars="200"/>
        <w:rPr>
          <w:color w:val="auto"/>
          <w:szCs w:val="32"/>
          <w:highlight w:val="none"/>
        </w:rPr>
      </w:pPr>
      <w:r>
        <w:rPr>
          <w:rFonts w:hAnsi="仿宋_GB2312"/>
          <w:b/>
          <w:bCs/>
          <w:color w:val="auto"/>
          <w:szCs w:val="32"/>
          <w:highlight w:val="none"/>
        </w:rPr>
        <w:t>第九条</w:t>
      </w:r>
      <w:r>
        <w:rPr>
          <w:color w:val="auto"/>
          <w:szCs w:val="32"/>
          <w:highlight w:val="none"/>
        </w:rPr>
        <w:t xml:space="preserve">  </w:t>
      </w:r>
      <w:r>
        <w:rPr>
          <w:rFonts w:hAnsi="仿宋_GB2312"/>
          <w:color w:val="auto"/>
          <w:szCs w:val="32"/>
          <w:highlight w:val="none"/>
        </w:rPr>
        <w:t>评标由依法组建的评标委员会负责。评标委员会一般由</w:t>
      </w:r>
      <w:r>
        <w:rPr>
          <w:color w:val="auto"/>
          <w:szCs w:val="32"/>
          <w:highlight w:val="none"/>
        </w:rPr>
        <w:t>5</w:t>
      </w:r>
      <w:r>
        <w:rPr>
          <w:rFonts w:hAnsi="仿宋_GB2312"/>
          <w:color w:val="auto"/>
          <w:szCs w:val="32"/>
          <w:highlight w:val="none"/>
        </w:rPr>
        <w:t>人以上单数组成，评标委员会成员的专业素养和能力应当满足招标项目的评标要求。</w:t>
      </w:r>
    </w:p>
    <w:p>
      <w:pPr>
        <w:ind w:firstLine="624" w:firstLineChars="200"/>
        <w:rPr>
          <w:color w:val="auto"/>
          <w:szCs w:val="32"/>
          <w:highlight w:val="none"/>
        </w:rPr>
      </w:pPr>
      <w:r>
        <w:rPr>
          <w:rFonts w:hAnsi="仿宋_GB2312"/>
          <w:color w:val="auto"/>
          <w:szCs w:val="32"/>
          <w:highlight w:val="none"/>
        </w:rPr>
        <w:t>评标委员会成员由招标人代表，以及技术、经济等方面专家组成，其中技术、经济等方面专家不得少于成员总数的三分之二。招标人代表应当具备评标专家相应的或者类似的资格条件和专业能力。</w:t>
      </w:r>
    </w:p>
    <w:p>
      <w:pPr>
        <w:ind w:firstLine="624" w:firstLineChars="200"/>
        <w:rPr>
          <w:color w:val="auto"/>
          <w:szCs w:val="32"/>
          <w:highlight w:val="none"/>
        </w:rPr>
      </w:pPr>
      <w:r>
        <w:rPr>
          <w:rFonts w:hAnsi="仿宋_GB2312"/>
          <w:color w:val="auto"/>
          <w:szCs w:val="32"/>
          <w:highlight w:val="none"/>
        </w:rPr>
        <w:t>技术复杂、专业性强或者国家有特殊要求的，采用随机抽取方式确定专家难以胜任评标实际需要的，经行政监管部门批准后可以由招标人直接确定。</w:t>
      </w:r>
    </w:p>
    <w:p>
      <w:pPr>
        <w:ind w:firstLine="624" w:firstLineChars="200"/>
        <w:rPr>
          <w:color w:val="auto"/>
          <w:szCs w:val="32"/>
          <w:highlight w:val="none"/>
        </w:rPr>
      </w:pPr>
      <w:r>
        <w:rPr>
          <w:rFonts w:hAnsi="仿宋_GB2312"/>
          <w:b/>
          <w:bCs/>
          <w:color w:val="auto"/>
          <w:szCs w:val="32"/>
          <w:highlight w:val="none"/>
        </w:rPr>
        <w:t>第十条</w:t>
      </w:r>
      <w:r>
        <w:rPr>
          <w:color w:val="auto"/>
          <w:szCs w:val="32"/>
          <w:highlight w:val="none"/>
        </w:rPr>
        <w:t xml:space="preserve">  </w:t>
      </w:r>
      <w:r>
        <w:rPr>
          <w:rFonts w:hAnsi="仿宋_GB2312"/>
          <w:color w:val="auto"/>
          <w:szCs w:val="32"/>
          <w:highlight w:val="none"/>
        </w:rPr>
        <w:t>评标委员会设立主任委员。主任委员由评标委员会成员推举产生，评标工作由其主持。</w:t>
      </w:r>
    </w:p>
    <w:p>
      <w:pPr>
        <w:ind w:firstLine="624" w:firstLineChars="200"/>
        <w:rPr>
          <w:color w:val="auto"/>
          <w:szCs w:val="32"/>
          <w:highlight w:val="none"/>
        </w:rPr>
      </w:pPr>
      <w:r>
        <w:rPr>
          <w:rFonts w:hAnsi="仿宋_GB2312"/>
          <w:color w:val="auto"/>
          <w:szCs w:val="32"/>
          <w:highlight w:val="none"/>
        </w:rPr>
        <w:t>招标人代表不得担任评标委员会主任委员。</w:t>
      </w:r>
    </w:p>
    <w:p>
      <w:pPr>
        <w:ind w:firstLine="624" w:firstLineChars="200"/>
        <w:rPr>
          <w:color w:val="auto"/>
          <w:szCs w:val="32"/>
          <w:highlight w:val="none"/>
        </w:rPr>
      </w:pPr>
      <w:r>
        <w:rPr>
          <w:rFonts w:hAnsi="仿宋_GB2312"/>
          <w:b/>
          <w:bCs/>
          <w:color w:val="auto"/>
          <w:szCs w:val="32"/>
          <w:highlight w:val="none"/>
        </w:rPr>
        <w:t>第十一条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评标委员会成员应当认真研究招标文件，至少应当了解和熟悉以下内容：</w:t>
      </w:r>
    </w:p>
    <w:p>
      <w:pPr>
        <w:ind w:firstLine="624" w:firstLineChars="200"/>
        <w:rPr>
          <w:color w:val="auto"/>
          <w:szCs w:val="32"/>
          <w:highlight w:val="none"/>
        </w:rPr>
      </w:pPr>
      <w:r>
        <w:rPr>
          <w:rFonts w:hAnsi="仿宋_GB2312"/>
          <w:color w:val="auto"/>
          <w:szCs w:val="32"/>
          <w:highlight w:val="none"/>
        </w:rPr>
        <w:t>（一）招标的目标；</w:t>
      </w:r>
    </w:p>
    <w:p>
      <w:pPr>
        <w:ind w:firstLine="624" w:firstLineChars="200"/>
        <w:rPr>
          <w:color w:val="auto"/>
          <w:szCs w:val="32"/>
          <w:highlight w:val="none"/>
        </w:rPr>
      </w:pPr>
      <w:r>
        <w:rPr>
          <w:rFonts w:hAnsi="仿宋_GB2312"/>
          <w:color w:val="auto"/>
          <w:szCs w:val="32"/>
          <w:highlight w:val="none"/>
        </w:rPr>
        <w:t>（二）招标项目的范围和性质；</w:t>
      </w:r>
    </w:p>
    <w:p>
      <w:pPr>
        <w:ind w:firstLine="624" w:firstLineChars="200"/>
        <w:rPr>
          <w:color w:val="auto"/>
          <w:szCs w:val="32"/>
          <w:highlight w:val="none"/>
        </w:rPr>
      </w:pPr>
      <w:r>
        <w:rPr>
          <w:rFonts w:hAnsi="仿宋_GB2312"/>
          <w:color w:val="auto"/>
          <w:szCs w:val="32"/>
          <w:highlight w:val="none"/>
        </w:rPr>
        <w:t>（三）招标文件中规定的主要技术要求、标准和商务条款、质量标准和工期要求；</w:t>
      </w:r>
    </w:p>
    <w:p>
      <w:pPr>
        <w:ind w:firstLine="624" w:firstLineChars="200"/>
        <w:rPr>
          <w:color w:val="auto"/>
          <w:szCs w:val="32"/>
          <w:highlight w:val="none"/>
        </w:rPr>
      </w:pPr>
      <w:r>
        <w:rPr>
          <w:rFonts w:hAnsi="仿宋_GB2312"/>
          <w:color w:val="auto"/>
          <w:szCs w:val="32"/>
          <w:highlight w:val="none"/>
        </w:rPr>
        <w:t>（四）招标文件规定的评审标准、评标办法和评标过程应当考虑的相关因素；</w:t>
      </w:r>
    </w:p>
    <w:p>
      <w:pPr>
        <w:ind w:firstLine="624" w:firstLineChars="200"/>
        <w:rPr>
          <w:color w:val="auto"/>
          <w:szCs w:val="32"/>
          <w:highlight w:val="none"/>
        </w:rPr>
      </w:pPr>
      <w:r>
        <w:rPr>
          <w:rFonts w:hAnsi="仿宋_GB2312"/>
          <w:color w:val="auto"/>
          <w:szCs w:val="32"/>
          <w:highlight w:val="none"/>
        </w:rPr>
        <w:t>（五）招标人或者其委托的招标代理机构提供的评标所需的重要信息和数据。</w:t>
      </w:r>
    </w:p>
    <w:p>
      <w:pPr>
        <w:ind w:firstLine="624" w:firstLineChars="200"/>
        <w:rPr>
          <w:color w:val="auto"/>
          <w:highlight w:val="none"/>
        </w:rPr>
      </w:pPr>
      <w:r>
        <w:rPr>
          <w:rFonts w:hAnsi="仿宋_GB2312"/>
          <w:b/>
          <w:bCs/>
          <w:color w:val="auto"/>
          <w:szCs w:val="32"/>
          <w:highlight w:val="none"/>
        </w:rPr>
        <w:t>第十二条</w:t>
      </w:r>
      <w:r>
        <w:rPr>
          <w:color w:val="auto"/>
          <w:szCs w:val="32"/>
          <w:highlight w:val="none"/>
        </w:rPr>
        <w:t xml:space="preserve"> </w:t>
      </w:r>
      <w:r>
        <w:rPr>
          <w:rFonts w:hint="eastAsia"/>
          <w:color w:val="auto"/>
          <w:szCs w:val="32"/>
          <w:highlight w:val="none"/>
          <w:lang w:val="en-US" w:eastAsia="zh-CN"/>
        </w:rPr>
        <w:t xml:space="preserve"> </w:t>
      </w:r>
      <w:r>
        <w:rPr>
          <w:color w:val="auto"/>
          <w:highlight w:val="none"/>
        </w:rPr>
        <w:t>评标委员会成员应当依照招标投标法</w:t>
      </w:r>
      <w:r>
        <w:rPr>
          <w:rFonts w:hint="eastAsia"/>
          <w:color w:val="auto"/>
          <w:highlight w:val="none"/>
        </w:rPr>
        <w:t>及其实施</w:t>
      </w:r>
      <w:r>
        <w:rPr>
          <w:color w:val="auto"/>
          <w:highlight w:val="none"/>
        </w:rPr>
        <w:t>条例的规定，按照招标文件规定的评标标准和方法，客观、公正地对投标文件提出评审意见。</w:t>
      </w:r>
    </w:p>
    <w:p>
      <w:pPr>
        <w:ind w:firstLine="624" w:firstLineChars="200"/>
        <w:rPr>
          <w:color w:val="auto"/>
          <w:szCs w:val="32"/>
          <w:highlight w:val="none"/>
        </w:rPr>
      </w:pPr>
      <w:r>
        <w:rPr>
          <w:rFonts w:hAnsi="仿宋_GB2312"/>
          <w:color w:val="auto"/>
          <w:szCs w:val="32"/>
          <w:highlight w:val="none"/>
        </w:rPr>
        <w:t>评标过程中，评标委员会成员对法律法规及相关政策文件理解不一致或者不熟悉的问题，应当在现场提请行政监管部门解释。对招标文件中存在的其他问题应当提请招标人澄清。</w:t>
      </w:r>
    </w:p>
    <w:p>
      <w:pPr>
        <w:ind w:firstLine="624" w:firstLineChars="200"/>
        <w:rPr>
          <w:rFonts w:hint="eastAsia"/>
          <w:color w:val="auto"/>
          <w:highlight w:val="none"/>
        </w:rPr>
      </w:pPr>
      <w:r>
        <w:rPr>
          <w:rFonts w:hAnsi="仿宋_GB2312"/>
          <w:color w:val="auto"/>
          <w:szCs w:val="32"/>
          <w:highlight w:val="none"/>
        </w:rPr>
        <w:t>对上述情形以外的问题，由评标委员会集体讨论决定。无法形成一致意见时，应当按照少数服从多数原则进行表决并予记录。</w:t>
      </w:r>
    </w:p>
    <w:p>
      <w:pPr>
        <w:ind w:firstLine="624" w:firstLineChars="200"/>
        <w:rPr>
          <w:color w:val="auto"/>
          <w:szCs w:val="32"/>
          <w:highlight w:val="none"/>
        </w:rPr>
      </w:pPr>
      <w:r>
        <w:rPr>
          <w:rFonts w:hAnsi="仿宋_GB2312"/>
          <w:b/>
          <w:bCs/>
          <w:color w:val="auto"/>
          <w:szCs w:val="32"/>
          <w:highlight w:val="none"/>
        </w:rPr>
        <w:t>第十三条</w:t>
      </w:r>
      <w:r>
        <w:rPr>
          <w:color w:val="auto"/>
          <w:szCs w:val="32"/>
          <w:highlight w:val="none"/>
        </w:rPr>
        <w:t xml:space="preserve">  </w:t>
      </w:r>
      <w:r>
        <w:rPr>
          <w:rFonts w:hAnsi="仿宋_GB2312"/>
          <w:color w:val="auto"/>
          <w:szCs w:val="32"/>
          <w:highlight w:val="none"/>
        </w:rPr>
        <w:t>初步评审包括形式评审、资格评审、响应性评审。评审过程中，评标委员会可以要求投标人对投标文件中的内容作出必要的澄清、说明或者补正。</w:t>
      </w:r>
    </w:p>
    <w:p>
      <w:pPr>
        <w:ind w:firstLine="624" w:firstLineChars="200"/>
        <w:rPr>
          <w:color w:val="auto"/>
          <w:szCs w:val="32"/>
          <w:highlight w:val="none"/>
        </w:rPr>
      </w:pPr>
      <w:r>
        <w:rPr>
          <w:rFonts w:hAnsi="仿宋_GB2312"/>
          <w:b/>
          <w:bCs/>
          <w:color w:val="auto"/>
          <w:szCs w:val="32"/>
          <w:highlight w:val="none"/>
        </w:rPr>
        <w:t>第十四条</w:t>
      </w:r>
      <w:r>
        <w:rPr>
          <w:color w:val="auto"/>
          <w:szCs w:val="32"/>
          <w:highlight w:val="none"/>
        </w:rPr>
        <w:t xml:space="preserve">  </w:t>
      </w:r>
      <w:r>
        <w:rPr>
          <w:rFonts w:hAnsi="仿宋_GB2312"/>
          <w:color w:val="auto"/>
          <w:szCs w:val="32"/>
          <w:highlight w:val="none"/>
        </w:rPr>
        <w:t>形式评审时，有下列情形之一的，应当否决其投标：</w:t>
      </w:r>
    </w:p>
    <w:p>
      <w:pPr>
        <w:ind w:firstLine="624" w:firstLineChars="200"/>
        <w:rPr>
          <w:color w:val="auto"/>
          <w:szCs w:val="32"/>
          <w:highlight w:val="none"/>
        </w:rPr>
      </w:pPr>
      <w:r>
        <w:rPr>
          <w:rFonts w:hAnsi="仿宋_GB2312"/>
          <w:color w:val="auto"/>
          <w:szCs w:val="32"/>
          <w:highlight w:val="none"/>
        </w:rPr>
        <w:t>（一）投标文件未加盖投标人的单位公章和法定代表人印章的；</w:t>
      </w:r>
    </w:p>
    <w:p>
      <w:pPr>
        <w:ind w:firstLine="624" w:firstLineChars="200"/>
        <w:rPr>
          <w:color w:val="auto"/>
          <w:szCs w:val="32"/>
          <w:highlight w:val="none"/>
        </w:rPr>
      </w:pPr>
      <w:r>
        <w:rPr>
          <w:rFonts w:hAnsi="仿宋_GB2312"/>
          <w:color w:val="auto"/>
          <w:szCs w:val="32"/>
          <w:highlight w:val="none"/>
        </w:rPr>
        <w:t>（二）同一投标人提交两份以上不同内容的投标文件或者投标报价，但按招标文件要求提交备选投标的除外；</w:t>
      </w:r>
    </w:p>
    <w:p>
      <w:pPr>
        <w:ind w:firstLine="624" w:firstLineChars="200"/>
        <w:rPr>
          <w:color w:val="auto"/>
          <w:szCs w:val="32"/>
          <w:highlight w:val="none"/>
        </w:rPr>
      </w:pPr>
      <w:r>
        <w:rPr>
          <w:rFonts w:hAnsi="仿宋_GB2312"/>
          <w:color w:val="auto"/>
          <w:szCs w:val="32"/>
          <w:highlight w:val="none"/>
        </w:rPr>
        <w:t>（三）投标联合体没有提交共同投标协议的；</w:t>
      </w:r>
    </w:p>
    <w:p>
      <w:pPr>
        <w:ind w:firstLine="624" w:firstLineChars="200"/>
        <w:rPr>
          <w:color w:val="auto"/>
          <w:szCs w:val="32"/>
          <w:highlight w:val="none"/>
        </w:rPr>
      </w:pPr>
      <w:r>
        <w:rPr>
          <w:rFonts w:hAnsi="仿宋_GB2312"/>
          <w:color w:val="auto"/>
          <w:szCs w:val="32"/>
          <w:highlight w:val="none"/>
        </w:rPr>
        <w:t>（四）其他不符合法律法规规章和资格预审文件及招标文件相关形式要求的。</w:t>
      </w:r>
    </w:p>
    <w:p>
      <w:pPr>
        <w:ind w:firstLine="624" w:firstLineChars="200"/>
        <w:rPr>
          <w:color w:val="auto"/>
          <w:szCs w:val="32"/>
          <w:highlight w:val="none"/>
        </w:rPr>
      </w:pPr>
      <w:r>
        <w:rPr>
          <w:rFonts w:hAnsi="仿宋_GB2312"/>
          <w:b/>
          <w:bCs/>
          <w:color w:val="auto"/>
          <w:szCs w:val="32"/>
          <w:highlight w:val="none"/>
        </w:rPr>
        <w:t>第十五条</w:t>
      </w:r>
      <w:r>
        <w:rPr>
          <w:color w:val="auto"/>
          <w:szCs w:val="32"/>
          <w:highlight w:val="none"/>
        </w:rPr>
        <w:t xml:space="preserve">  </w:t>
      </w:r>
      <w:r>
        <w:rPr>
          <w:rFonts w:hAnsi="仿宋_GB2312"/>
          <w:color w:val="auto"/>
          <w:szCs w:val="32"/>
          <w:highlight w:val="none"/>
        </w:rPr>
        <w:t>资格评审时，有下列情形之一的，应当否决其投标：</w:t>
      </w:r>
    </w:p>
    <w:p>
      <w:pPr>
        <w:ind w:firstLine="624" w:firstLineChars="200"/>
        <w:rPr>
          <w:color w:val="auto"/>
          <w:szCs w:val="32"/>
          <w:highlight w:val="none"/>
        </w:rPr>
      </w:pPr>
      <w:r>
        <w:rPr>
          <w:rFonts w:hAnsi="仿宋_GB2312"/>
          <w:color w:val="auto"/>
          <w:szCs w:val="32"/>
          <w:highlight w:val="none"/>
        </w:rPr>
        <w:t>（一）评审过程中，评标委员会发现投标人以他人名义投标、串通投标、以行贿手段谋取中标或者以其他弄虚作假方式投标的；</w:t>
      </w:r>
    </w:p>
    <w:p>
      <w:pPr>
        <w:ind w:firstLine="624" w:firstLineChars="200"/>
        <w:rPr>
          <w:color w:val="auto"/>
          <w:szCs w:val="32"/>
          <w:highlight w:val="none"/>
        </w:rPr>
      </w:pPr>
      <w:r>
        <w:rPr>
          <w:rFonts w:hAnsi="仿宋_GB2312"/>
          <w:color w:val="auto"/>
          <w:szCs w:val="32"/>
          <w:highlight w:val="none"/>
        </w:rPr>
        <w:t>（二）投标人资格条件不符合国家有关规定或者招标文件要求的，或者拒不按照要求对投标文件进行澄清、说明、补正的，或者提供的澄清、说明、补正无法证明其为合格投标人的；</w:t>
      </w:r>
    </w:p>
    <w:p>
      <w:pPr>
        <w:ind w:firstLine="624" w:firstLineChars="200"/>
        <w:rPr>
          <w:color w:val="auto"/>
          <w:szCs w:val="32"/>
          <w:highlight w:val="none"/>
        </w:rPr>
      </w:pPr>
      <w:r>
        <w:rPr>
          <w:rFonts w:hAnsi="仿宋_GB2312"/>
          <w:color w:val="auto"/>
          <w:szCs w:val="32"/>
          <w:highlight w:val="none"/>
        </w:rPr>
        <w:t>（三）项目经理的配备</w:t>
      </w:r>
      <w:r>
        <w:rPr>
          <w:rFonts w:hint="eastAsia" w:hAnsi="仿宋_GB2312"/>
          <w:color w:val="auto"/>
          <w:szCs w:val="32"/>
          <w:highlight w:val="none"/>
        </w:rPr>
        <w:t>不符合</w:t>
      </w:r>
      <w:r>
        <w:rPr>
          <w:rFonts w:hAnsi="仿宋_GB2312"/>
          <w:color w:val="auto"/>
          <w:szCs w:val="32"/>
          <w:highlight w:val="none"/>
        </w:rPr>
        <w:t>国家或者省有关规定及招标文件要求</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b/>
          <w:bCs/>
          <w:color w:val="auto"/>
          <w:szCs w:val="32"/>
          <w:highlight w:val="none"/>
        </w:rPr>
        <w:t>第十六条</w:t>
      </w:r>
      <w:r>
        <w:rPr>
          <w:color w:val="auto"/>
          <w:szCs w:val="32"/>
          <w:highlight w:val="none"/>
        </w:rPr>
        <w:t xml:space="preserve">  </w:t>
      </w:r>
      <w:r>
        <w:rPr>
          <w:rFonts w:hAnsi="仿宋_GB2312"/>
          <w:color w:val="auto"/>
          <w:szCs w:val="32"/>
          <w:highlight w:val="none"/>
        </w:rPr>
        <w:t>响应性评审时，有下列情形之一的，应当否决其投标：</w:t>
      </w:r>
    </w:p>
    <w:p>
      <w:pPr>
        <w:ind w:firstLine="624" w:firstLineChars="200"/>
        <w:rPr>
          <w:color w:val="auto"/>
          <w:szCs w:val="32"/>
          <w:highlight w:val="none"/>
        </w:rPr>
      </w:pPr>
      <w:r>
        <w:rPr>
          <w:rFonts w:hAnsi="仿宋_GB2312"/>
          <w:color w:val="auto"/>
          <w:szCs w:val="32"/>
          <w:highlight w:val="none"/>
        </w:rPr>
        <w:t>（一）投标文件载明的投标范围小于招标文件规定的招标范围</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color w:val="auto"/>
          <w:szCs w:val="32"/>
          <w:highlight w:val="none"/>
        </w:rPr>
        <w:t>（二）投标人报价超过招标文件规定的最高投标限价</w:t>
      </w:r>
      <w:r>
        <w:rPr>
          <w:color w:val="auto"/>
          <w:szCs w:val="32"/>
          <w:highlight w:val="none"/>
        </w:rPr>
        <w:t>的</w:t>
      </w:r>
      <w:r>
        <w:rPr>
          <w:rFonts w:hAnsi="仿宋_GB2312"/>
          <w:color w:val="auto"/>
          <w:szCs w:val="32"/>
          <w:highlight w:val="none"/>
        </w:rPr>
        <w:t>；</w:t>
      </w:r>
    </w:p>
    <w:p>
      <w:pPr>
        <w:ind w:firstLine="624" w:firstLineChars="200"/>
        <w:rPr>
          <w:color w:val="auto"/>
          <w:highlight w:val="none"/>
        </w:rPr>
      </w:pPr>
      <w:r>
        <w:rPr>
          <w:rFonts w:hAnsi="仿宋_GB2312"/>
          <w:color w:val="auto"/>
          <w:szCs w:val="32"/>
          <w:highlight w:val="none"/>
        </w:rPr>
        <w:t>（三）</w:t>
      </w:r>
      <w:r>
        <w:rPr>
          <w:rFonts w:ascii="仿宋_GB2312" w:hAnsi="仿宋_GB2312"/>
          <w:color w:val="auto"/>
          <w:highlight w:val="none"/>
        </w:rPr>
        <w:t>投标报价中的</w:t>
      </w:r>
      <w:r>
        <w:rPr>
          <w:rFonts w:hint="eastAsia" w:ascii="仿宋_GB2312" w:hAnsi="宋体"/>
          <w:color w:val="auto"/>
          <w:highlight w:val="none"/>
        </w:rPr>
        <w:t>绿色施工安全防护措施项目费、安全责任险、环境保护税没有按照省住房城乡建设主管部门的规定计算的，增值税没有按照政府有关主管部门的规定计算费用的</w:t>
      </w:r>
      <w:r>
        <w:rPr>
          <w:rFonts w:ascii="仿宋_GB2312" w:hAnsi="仿宋_GB2312"/>
          <w:color w:val="auto"/>
          <w:highlight w:val="none"/>
        </w:rPr>
        <w:t>；</w:t>
      </w:r>
    </w:p>
    <w:p>
      <w:pPr>
        <w:ind w:firstLine="624" w:firstLineChars="200"/>
        <w:rPr>
          <w:color w:val="auto"/>
          <w:szCs w:val="32"/>
          <w:highlight w:val="none"/>
        </w:rPr>
      </w:pPr>
      <w:r>
        <w:rPr>
          <w:rFonts w:hAnsi="仿宋_GB2312"/>
          <w:color w:val="auto"/>
          <w:szCs w:val="32"/>
          <w:highlight w:val="none"/>
        </w:rPr>
        <w:t>（四）投标文件载明的招标项目完成期限超过招标文件要求的期限</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color w:val="auto"/>
          <w:szCs w:val="32"/>
          <w:highlight w:val="none"/>
        </w:rPr>
        <w:t>（五）投标文件载明的质量标准或保修承诺低于招标文件的要求</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color w:val="auto"/>
          <w:szCs w:val="32"/>
          <w:highlight w:val="none"/>
        </w:rPr>
        <w:t>（六）没有按照招标文件的要求提供投标保证</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color w:val="auto"/>
          <w:szCs w:val="32"/>
          <w:highlight w:val="none"/>
        </w:rPr>
        <w:t>（七）其他未能响应招标文件提出的实质性要求和条件</w:t>
      </w:r>
      <w:r>
        <w:rPr>
          <w:color w:val="auto"/>
          <w:szCs w:val="32"/>
          <w:highlight w:val="none"/>
        </w:rPr>
        <w:t>的</w:t>
      </w:r>
      <w:r>
        <w:rPr>
          <w:rFonts w:hAnsi="仿宋_GB2312"/>
          <w:color w:val="auto"/>
          <w:szCs w:val="32"/>
          <w:highlight w:val="none"/>
        </w:rPr>
        <w:t>。</w:t>
      </w:r>
    </w:p>
    <w:p>
      <w:pPr>
        <w:ind w:firstLine="624" w:firstLineChars="200"/>
        <w:rPr>
          <w:color w:val="auto"/>
          <w:szCs w:val="32"/>
          <w:highlight w:val="none"/>
        </w:rPr>
      </w:pPr>
      <w:r>
        <w:rPr>
          <w:rFonts w:hAnsi="仿宋_GB2312"/>
          <w:b/>
          <w:bCs/>
          <w:color w:val="auto"/>
          <w:szCs w:val="32"/>
          <w:highlight w:val="none"/>
        </w:rPr>
        <w:t>第十七条</w:t>
      </w:r>
      <w:r>
        <w:rPr>
          <w:color w:val="auto"/>
          <w:szCs w:val="32"/>
          <w:highlight w:val="none"/>
        </w:rPr>
        <w:t xml:space="preserve">  </w:t>
      </w:r>
      <w:r>
        <w:rPr>
          <w:rFonts w:hAnsi="仿宋_GB2312"/>
          <w:color w:val="auto"/>
          <w:szCs w:val="32"/>
          <w:highlight w:val="none"/>
        </w:rPr>
        <w:t>经初步评审合格的投标人，由评标委员会根据招标文件确定的评审因素和评审标准，按下列方式确定进入详细评审的投标人。</w:t>
      </w:r>
    </w:p>
    <w:p>
      <w:pPr>
        <w:ind w:firstLine="624" w:firstLineChars="200"/>
        <w:rPr>
          <w:color w:val="auto"/>
          <w:szCs w:val="32"/>
          <w:highlight w:val="none"/>
        </w:rPr>
      </w:pPr>
      <w:r>
        <w:rPr>
          <w:rFonts w:hAnsi="仿宋_GB2312"/>
          <w:color w:val="auto"/>
          <w:szCs w:val="32"/>
          <w:highlight w:val="none"/>
        </w:rPr>
        <w:t>（一）采用经评审的最低投标价法评标的：</w:t>
      </w:r>
    </w:p>
    <w:p>
      <w:pPr>
        <w:ind w:firstLine="624" w:firstLineChars="200"/>
        <w:rPr>
          <w:color w:val="auto"/>
          <w:highlight w:val="none"/>
        </w:rPr>
      </w:pPr>
      <w:r>
        <w:rPr>
          <w:color w:val="auto"/>
          <w:highlight w:val="none"/>
        </w:rPr>
        <w:t>1</w:t>
      </w:r>
      <w:r>
        <w:rPr>
          <w:rFonts w:hint="eastAsia" w:ascii="仿宋_GB2312"/>
          <w:color w:val="auto"/>
          <w:highlight w:val="none"/>
        </w:rPr>
        <w:t>．合格投标人未超过</w:t>
      </w:r>
      <w:r>
        <w:rPr>
          <w:rFonts w:hint="eastAsia"/>
          <w:color w:val="auto"/>
          <w:highlight w:val="none"/>
        </w:rPr>
        <w:t>25</w:t>
      </w:r>
      <w:r>
        <w:rPr>
          <w:rFonts w:hint="eastAsia" w:ascii="仿宋_GB2312"/>
          <w:color w:val="auto"/>
          <w:highlight w:val="none"/>
        </w:rPr>
        <w:t>个的，全部进入详细评审</w:t>
      </w:r>
      <w:r>
        <w:rPr>
          <w:rFonts w:ascii="仿宋_GB2312" w:hAnsi="仿宋_GB2312"/>
          <w:color w:val="auto"/>
          <w:highlight w:val="none"/>
        </w:rPr>
        <w:t>；</w:t>
      </w:r>
    </w:p>
    <w:p>
      <w:pPr>
        <w:ind w:firstLine="624" w:firstLineChars="200"/>
        <w:rPr>
          <w:rFonts w:ascii="Calibri" w:hAnsi="Calibri" w:cs="宋体"/>
          <w:color w:val="auto"/>
          <w:highlight w:val="none"/>
        </w:rPr>
      </w:pPr>
      <w:r>
        <w:rPr>
          <w:rFonts w:hint="eastAsia"/>
          <w:color w:val="auto"/>
          <w:highlight w:val="none"/>
        </w:rPr>
        <w:t>2</w:t>
      </w:r>
      <w:r>
        <w:rPr>
          <w:rFonts w:hint="eastAsia" w:ascii="仿宋_GB2312"/>
          <w:color w:val="auto"/>
          <w:highlight w:val="none"/>
        </w:rPr>
        <w:t>．合格投标人超过</w:t>
      </w:r>
      <w:r>
        <w:rPr>
          <w:rFonts w:hint="eastAsia"/>
          <w:color w:val="auto"/>
          <w:highlight w:val="none"/>
        </w:rPr>
        <w:t>25</w:t>
      </w:r>
      <w:r>
        <w:rPr>
          <w:rFonts w:hint="eastAsia" w:ascii="仿宋_GB2312"/>
          <w:color w:val="auto"/>
          <w:highlight w:val="none"/>
        </w:rPr>
        <w:t>个的，</w:t>
      </w:r>
      <w:r>
        <w:rPr>
          <w:rFonts w:ascii="仿宋_GB2312" w:hAnsi="仿宋_GB2312"/>
          <w:color w:val="auto"/>
          <w:highlight w:val="none"/>
        </w:rPr>
        <w:t>按照投标报价由低至高的顺序确定</w:t>
      </w:r>
      <w:r>
        <w:rPr>
          <w:rFonts w:hint="eastAsia"/>
          <w:color w:val="auto"/>
          <w:highlight w:val="none"/>
        </w:rPr>
        <w:t>25</w:t>
      </w:r>
      <w:r>
        <w:rPr>
          <w:rFonts w:hint="eastAsia" w:ascii="仿宋_GB2312"/>
          <w:color w:val="auto"/>
          <w:highlight w:val="none"/>
        </w:rPr>
        <w:t>个投标人进入详细评审，末位投标人报价相同的全部确定进入详细评审</w:t>
      </w:r>
      <w:r>
        <w:rPr>
          <w:rFonts w:ascii="仿宋_GB2312" w:hAnsi="仿宋_GB2312"/>
          <w:color w:val="auto"/>
          <w:highlight w:val="none"/>
        </w:rPr>
        <w:t>。</w:t>
      </w:r>
    </w:p>
    <w:p>
      <w:pPr>
        <w:ind w:firstLine="624" w:firstLineChars="200"/>
        <w:rPr>
          <w:rFonts w:hAnsi="仿宋_GB2312"/>
          <w:color w:val="auto"/>
          <w:szCs w:val="32"/>
          <w:highlight w:val="none"/>
        </w:rPr>
      </w:pPr>
      <w:r>
        <w:rPr>
          <w:rFonts w:hAnsi="仿宋_GB2312"/>
          <w:color w:val="auto"/>
          <w:szCs w:val="32"/>
          <w:highlight w:val="none"/>
        </w:rPr>
        <w:t>（二）采用综合评估法评标</w:t>
      </w:r>
      <w:r>
        <w:rPr>
          <w:rFonts w:hint="eastAsia" w:hAnsi="仿宋_GB2312"/>
          <w:color w:val="auto"/>
          <w:szCs w:val="32"/>
          <w:highlight w:val="none"/>
        </w:rPr>
        <w:t>：</w:t>
      </w:r>
    </w:p>
    <w:p>
      <w:pPr>
        <w:ind w:firstLine="624" w:firstLineChars="200"/>
        <w:rPr>
          <w:rFonts w:hAnsi="仿宋_GB2312"/>
          <w:color w:val="auto"/>
          <w:szCs w:val="32"/>
          <w:highlight w:val="none"/>
        </w:rPr>
      </w:pPr>
      <w:r>
        <w:rPr>
          <w:rFonts w:hint="eastAsia" w:hAnsi="仿宋_GB2312"/>
          <w:color w:val="auto"/>
          <w:szCs w:val="32"/>
          <w:highlight w:val="none"/>
        </w:rPr>
        <w:t>1.</w:t>
      </w:r>
      <w:r>
        <w:rPr>
          <w:rFonts w:hAnsi="仿宋_GB2312"/>
          <w:color w:val="auto"/>
          <w:szCs w:val="32"/>
          <w:highlight w:val="none"/>
        </w:rPr>
        <w:t>初步评审合格投标人</w:t>
      </w:r>
      <w:r>
        <w:rPr>
          <w:rFonts w:hint="eastAsia" w:hAnsi="仿宋_GB2312"/>
          <w:color w:val="auto"/>
          <w:szCs w:val="32"/>
          <w:highlight w:val="none"/>
        </w:rPr>
        <w:t>未</w:t>
      </w:r>
      <w:r>
        <w:rPr>
          <w:rFonts w:hAnsi="仿宋_GB2312"/>
          <w:color w:val="auto"/>
          <w:szCs w:val="32"/>
          <w:highlight w:val="none"/>
        </w:rPr>
        <w:t>超过</w:t>
      </w:r>
      <w:r>
        <w:rPr>
          <w:rFonts w:hint="eastAsia"/>
          <w:color w:val="auto"/>
          <w:szCs w:val="32"/>
          <w:highlight w:val="none"/>
          <w:lang w:val="en-US" w:eastAsia="zh-CN"/>
        </w:rPr>
        <w:t>25个</w:t>
      </w:r>
      <w:r>
        <w:rPr>
          <w:rFonts w:hAnsi="仿宋_GB2312"/>
          <w:color w:val="auto"/>
          <w:szCs w:val="32"/>
          <w:highlight w:val="none"/>
        </w:rPr>
        <w:t>的，</w:t>
      </w:r>
      <w:r>
        <w:rPr>
          <w:rFonts w:hint="eastAsia" w:hAnsi="仿宋_GB2312"/>
          <w:color w:val="auto"/>
          <w:szCs w:val="32"/>
          <w:highlight w:val="none"/>
        </w:rPr>
        <w:t>应当</w:t>
      </w:r>
      <w:r>
        <w:rPr>
          <w:rFonts w:hAnsi="仿宋_GB2312"/>
          <w:color w:val="auto"/>
          <w:szCs w:val="32"/>
          <w:highlight w:val="none"/>
        </w:rPr>
        <w:t>对所有投标人提交的投标文件作进一步评审、比较</w:t>
      </w:r>
      <w:r>
        <w:rPr>
          <w:rFonts w:hint="eastAsia" w:hAnsi="仿宋_GB2312"/>
          <w:color w:val="auto"/>
          <w:szCs w:val="32"/>
          <w:highlight w:val="none"/>
        </w:rPr>
        <w:t>。</w:t>
      </w:r>
    </w:p>
    <w:p>
      <w:pPr>
        <w:ind w:firstLine="624" w:firstLineChars="200"/>
        <w:rPr>
          <w:color w:val="auto"/>
          <w:szCs w:val="32"/>
          <w:highlight w:val="none"/>
        </w:rPr>
      </w:pPr>
      <w:r>
        <w:rPr>
          <w:rFonts w:hint="eastAsia" w:hAnsi="仿宋_GB2312"/>
          <w:color w:val="auto"/>
          <w:szCs w:val="32"/>
          <w:highlight w:val="none"/>
        </w:rPr>
        <w:t>2.</w:t>
      </w:r>
      <w:r>
        <w:rPr>
          <w:rFonts w:hAnsi="仿宋_GB2312"/>
          <w:color w:val="auto"/>
          <w:szCs w:val="32"/>
          <w:highlight w:val="none"/>
        </w:rPr>
        <w:t>初步评审合格投标人</w:t>
      </w:r>
      <w:r>
        <w:rPr>
          <w:rFonts w:hint="eastAsia" w:hAnsi="仿宋_GB2312"/>
          <w:color w:val="auto"/>
          <w:szCs w:val="32"/>
          <w:highlight w:val="none"/>
        </w:rPr>
        <w:t>超过</w:t>
      </w:r>
      <w:r>
        <w:rPr>
          <w:rFonts w:hint="eastAsia"/>
          <w:color w:val="auto"/>
          <w:szCs w:val="32"/>
          <w:highlight w:val="none"/>
          <w:lang w:val="en-US" w:eastAsia="zh-CN"/>
        </w:rPr>
        <w:t>25</w:t>
      </w:r>
      <w:r>
        <w:rPr>
          <w:rFonts w:hAnsi="仿宋_GB2312"/>
          <w:color w:val="auto"/>
          <w:szCs w:val="32"/>
          <w:highlight w:val="none"/>
        </w:rPr>
        <w:t>个的，可以对初步评审合格的所有投标人提交的投标文件作进一步评审、比较，也可以按照企业资信及履约能力评审得分</w:t>
      </w:r>
      <w:r>
        <w:rPr>
          <w:rFonts w:hint="eastAsia" w:hAnsi="仿宋_GB2312"/>
          <w:color w:val="auto"/>
          <w:szCs w:val="32"/>
          <w:highlight w:val="none"/>
        </w:rPr>
        <w:t>与</w:t>
      </w:r>
      <w:r>
        <w:rPr>
          <w:rFonts w:hAnsi="仿宋_GB2312"/>
          <w:color w:val="auto"/>
          <w:szCs w:val="32"/>
          <w:highlight w:val="none"/>
        </w:rPr>
        <w:t>施工组织设计方案评审</w:t>
      </w:r>
      <w:r>
        <w:rPr>
          <w:rFonts w:hint="eastAsia" w:hAnsi="仿宋_GB2312"/>
          <w:color w:val="auto"/>
          <w:szCs w:val="32"/>
          <w:highlight w:val="none"/>
        </w:rPr>
        <w:t>得</w:t>
      </w:r>
      <w:r>
        <w:rPr>
          <w:rFonts w:hAnsi="仿宋_GB2312"/>
          <w:color w:val="auto"/>
          <w:szCs w:val="32"/>
          <w:highlight w:val="none"/>
        </w:rPr>
        <w:t>分</w:t>
      </w:r>
      <w:r>
        <w:rPr>
          <w:rFonts w:hint="eastAsia" w:hAnsi="仿宋_GB2312"/>
          <w:color w:val="auto"/>
          <w:szCs w:val="32"/>
          <w:highlight w:val="none"/>
        </w:rPr>
        <w:t>乘以</w:t>
      </w:r>
      <w:r>
        <w:rPr>
          <w:rFonts w:hAnsi="仿宋_GB2312"/>
          <w:color w:val="auto"/>
          <w:szCs w:val="32"/>
          <w:highlight w:val="none"/>
        </w:rPr>
        <w:t>相应权重之和由高至低的顺序</w:t>
      </w:r>
      <w:r>
        <w:rPr>
          <w:rFonts w:hint="eastAsia" w:hAnsi="仿宋_GB2312"/>
          <w:color w:val="auto"/>
          <w:szCs w:val="32"/>
          <w:highlight w:val="none"/>
        </w:rPr>
        <w:t>确定</w:t>
      </w:r>
      <w:r>
        <w:rPr>
          <w:rFonts w:hint="eastAsia"/>
          <w:color w:val="auto"/>
          <w:szCs w:val="32"/>
          <w:highlight w:val="none"/>
          <w:lang w:val="en-US" w:eastAsia="zh-CN"/>
        </w:rPr>
        <w:t>25</w:t>
      </w:r>
      <w:r>
        <w:rPr>
          <w:rFonts w:hAnsi="仿宋_GB2312"/>
          <w:color w:val="auto"/>
          <w:szCs w:val="32"/>
          <w:highlight w:val="none"/>
        </w:rPr>
        <w:t>个投标人</w:t>
      </w:r>
      <w:r>
        <w:rPr>
          <w:rFonts w:hint="eastAsia" w:hAnsi="仿宋_GB2312"/>
          <w:color w:val="auto"/>
          <w:szCs w:val="32"/>
          <w:highlight w:val="none"/>
        </w:rPr>
        <w:t>。</w:t>
      </w:r>
    </w:p>
    <w:p>
      <w:pPr>
        <w:ind w:firstLine="624" w:firstLineChars="200"/>
        <w:rPr>
          <w:rFonts w:hint="eastAsia"/>
          <w:color w:val="auto"/>
          <w:szCs w:val="32"/>
          <w:highlight w:val="none"/>
        </w:rPr>
      </w:pPr>
      <w:r>
        <w:rPr>
          <w:rFonts w:hAnsi="仿宋_GB2312"/>
          <w:color w:val="auto"/>
          <w:szCs w:val="32"/>
          <w:highlight w:val="none"/>
        </w:rPr>
        <w:t>按照企业资信及履约能力评审</w:t>
      </w:r>
      <w:r>
        <w:rPr>
          <w:rFonts w:hint="eastAsia" w:hAnsi="仿宋_GB2312"/>
          <w:color w:val="auto"/>
          <w:szCs w:val="32"/>
          <w:highlight w:val="none"/>
          <w:lang w:val="en-US" w:eastAsia="zh-CN"/>
        </w:rPr>
        <w:t>得分与</w:t>
      </w:r>
      <w:r>
        <w:rPr>
          <w:rFonts w:hAnsi="仿宋_GB2312"/>
          <w:color w:val="auto"/>
          <w:szCs w:val="32"/>
          <w:highlight w:val="none"/>
        </w:rPr>
        <w:t>施工组织设计方案评审得分</w:t>
      </w:r>
      <w:r>
        <w:rPr>
          <w:rFonts w:hint="eastAsia" w:hAnsi="仿宋_GB2312"/>
          <w:color w:val="auto"/>
          <w:szCs w:val="32"/>
          <w:highlight w:val="none"/>
        </w:rPr>
        <w:t>乘以</w:t>
      </w:r>
      <w:r>
        <w:rPr>
          <w:rFonts w:hAnsi="仿宋_GB2312"/>
          <w:color w:val="auto"/>
          <w:szCs w:val="32"/>
          <w:highlight w:val="none"/>
        </w:rPr>
        <w:t>相应权重</w:t>
      </w:r>
      <w:r>
        <w:rPr>
          <w:rFonts w:hint="eastAsia" w:hAnsi="仿宋_GB2312"/>
          <w:color w:val="auto"/>
          <w:szCs w:val="32"/>
          <w:highlight w:val="none"/>
        </w:rPr>
        <w:t>之和</w:t>
      </w:r>
      <w:r>
        <w:rPr>
          <w:rFonts w:hAnsi="仿宋_GB2312"/>
          <w:color w:val="auto"/>
          <w:szCs w:val="32"/>
          <w:highlight w:val="none"/>
        </w:rPr>
        <w:t>由高至低顺序入围的</w:t>
      </w:r>
      <w:r>
        <w:rPr>
          <w:rFonts w:hint="eastAsia" w:hAnsi="仿宋_GB2312"/>
          <w:color w:val="auto"/>
          <w:szCs w:val="32"/>
          <w:highlight w:val="none"/>
          <w:lang w:val="en-US" w:eastAsia="zh-CN"/>
        </w:rPr>
        <w:t>25</w:t>
      </w:r>
      <w:r>
        <w:rPr>
          <w:rFonts w:hint="eastAsia" w:hAnsi="仿宋_GB2312"/>
          <w:color w:val="auto"/>
          <w:szCs w:val="32"/>
          <w:highlight w:val="none"/>
        </w:rPr>
        <w:t>个</w:t>
      </w:r>
      <w:r>
        <w:rPr>
          <w:rFonts w:hAnsi="仿宋_GB2312"/>
          <w:color w:val="auto"/>
          <w:szCs w:val="32"/>
          <w:highlight w:val="none"/>
        </w:rPr>
        <w:t>投标人</w:t>
      </w:r>
      <w:r>
        <w:rPr>
          <w:rFonts w:hint="eastAsia" w:hAnsi="仿宋_GB2312"/>
          <w:color w:val="auto"/>
          <w:szCs w:val="32"/>
          <w:highlight w:val="none"/>
        </w:rPr>
        <w:t>，其末位投标人</w:t>
      </w:r>
      <w:r>
        <w:rPr>
          <w:rFonts w:hAnsi="仿宋_GB2312"/>
          <w:color w:val="auto"/>
          <w:szCs w:val="32"/>
          <w:highlight w:val="none"/>
        </w:rPr>
        <w:t>得分相同的</w:t>
      </w:r>
      <w:r>
        <w:rPr>
          <w:rFonts w:hint="eastAsia" w:hAnsi="仿宋_GB2312"/>
          <w:color w:val="auto"/>
          <w:szCs w:val="32"/>
          <w:highlight w:val="none"/>
        </w:rPr>
        <w:t>全部进入</w:t>
      </w:r>
      <w:r>
        <w:rPr>
          <w:rFonts w:hAnsi="仿宋_GB2312"/>
          <w:color w:val="auto"/>
          <w:szCs w:val="32"/>
          <w:highlight w:val="none"/>
        </w:rPr>
        <w:t>下一步评审</w:t>
      </w:r>
      <w:r>
        <w:rPr>
          <w:rFonts w:hint="eastAsia" w:hAnsi="仿宋_GB2312"/>
          <w:color w:val="auto"/>
          <w:szCs w:val="32"/>
          <w:highlight w:val="none"/>
        </w:rPr>
        <w:t>、</w:t>
      </w:r>
      <w:r>
        <w:rPr>
          <w:rFonts w:hAnsi="仿宋_GB2312"/>
          <w:color w:val="auto"/>
          <w:szCs w:val="32"/>
          <w:highlight w:val="none"/>
        </w:rPr>
        <w:t>比较。</w:t>
      </w:r>
    </w:p>
    <w:p>
      <w:pPr>
        <w:ind w:firstLine="624" w:firstLineChars="200"/>
        <w:rPr>
          <w:color w:val="auto"/>
          <w:szCs w:val="32"/>
          <w:highlight w:val="none"/>
        </w:rPr>
      </w:pPr>
      <w:r>
        <w:rPr>
          <w:rFonts w:hAnsi="仿宋_GB2312"/>
          <w:b/>
          <w:color w:val="auto"/>
          <w:szCs w:val="32"/>
          <w:highlight w:val="none"/>
        </w:rPr>
        <w:t>第十八条</w:t>
      </w:r>
      <w:r>
        <w:rPr>
          <w:color w:val="auto"/>
          <w:szCs w:val="32"/>
          <w:highlight w:val="none"/>
        </w:rPr>
        <w:t xml:space="preserve"> </w:t>
      </w:r>
      <w:r>
        <w:rPr>
          <w:rFonts w:hAnsi="仿宋_GB2312"/>
          <w:color w:val="auto"/>
          <w:szCs w:val="32"/>
          <w:highlight w:val="none"/>
        </w:rPr>
        <w:t>详细评审因素包括施工组织设计、企业资信及履约能力（业绩及信用）和投标报价。</w:t>
      </w:r>
    </w:p>
    <w:p>
      <w:pPr>
        <w:ind w:firstLine="624" w:firstLineChars="200"/>
        <w:rPr>
          <w:color w:val="auto"/>
          <w:szCs w:val="32"/>
          <w:highlight w:val="none"/>
        </w:rPr>
      </w:pPr>
      <w:r>
        <w:rPr>
          <w:rFonts w:hAnsi="仿宋_GB2312"/>
          <w:color w:val="auto"/>
          <w:szCs w:val="32"/>
          <w:highlight w:val="none"/>
        </w:rPr>
        <w:t>轨道、机场</w:t>
      </w:r>
      <w:r>
        <w:rPr>
          <w:rFonts w:hint="eastAsia" w:hAnsi="仿宋_GB2312"/>
          <w:color w:val="auto"/>
          <w:szCs w:val="32"/>
          <w:highlight w:val="none"/>
        </w:rPr>
        <w:t>及</w:t>
      </w:r>
      <w:r>
        <w:rPr>
          <w:rFonts w:hAnsi="仿宋_GB2312"/>
          <w:color w:val="auto"/>
          <w:szCs w:val="32"/>
          <w:highlight w:val="none"/>
        </w:rPr>
        <w:t>其他超大型特殊项目，经住房城乡建设部门批准，招标人可以根据项目实际，在企业资信及履约能力评审中</w:t>
      </w:r>
      <w:r>
        <w:rPr>
          <w:rFonts w:hint="eastAsia" w:hAnsi="仿宋_GB2312"/>
          <w:color w:val="auto"/>
          <w:szCs w:val="32"/>
          <w:highlight w:val="none"/>
          <w:lang w:val="en-US" w:eastAsia="zh-CN"/>
        </w:rPr>
        <w:t>合理</w:t>
      </w:r>
      <w:r>
        <w:rPr>
          <w:rFonts w:hAnsi="仿宋_GB2312"/>
          <w:color w:val="auto"/>
          <w:szCs w:val="32"/>
          <w:highlight w:val="none"/>
        </w:rPr>
        <w:t>调整</w:t>
      </w:r>
      <w:r>
        <w:rPr>
          <w:rFonts w:hint="eastAsia" w:hAnsi="仿宋_GB2312"/>
          <w:color w:val="auto"/>
          <w:szCs w:val="32"/>
          <w:highlight w:val="none"/>
          <w:lang w:val="en-US" w:eastAsia="zh-CN"/>
        </w:rPr>
        <w:t>优良信息</w:t>
      </w:r>
      <w:r>
        <w:rPr>
          <w:rFonts w:hAnsi="仿宋_GB2312"/>
          <w:color w:val="auto"/>
          <w:szCs w:val="32"/>
          <w:highlight w:val="none"/>
        </w:rPr>
        <w:t>设置、增加财务状况评审，并可对</w:t>
      </w:r>
      <w:r>
        <w:rPr>
          <w:rFonts w:hint="eastAsia" w:hAnsi="仿宋_GB2312"/>
          <w:color w:val="auto"/>
          <w:szCs w:val="32"/>
          <w:highlight w:val="none"/>
        </w:rPr>
        <w:t>投标</w:t>
      </w:r>
      <w:r>
        <w:rPr>
          <w:rFonts w:hAnsi="仿宋_GB2312"/>
          <w:color w:val="auto"/>
          <w:szCs w:val="32"/>
          <w:highlight w:val="none"/>
        </w:rPr>
        <w:t>报价评审中的</w:t>
      </w:r>
      <w:r>
        <w:rPr>
          <w:color w:val="auto"/>
          <w:szCs w:val="32"/>
          <w:highlight w:val="none"/>
        </w:rPr>
        <w:t>β</w:t>
      </w:r>
      <w:r>
        <w:rPr>
          <w:rFonts w:hAnsi="仿宋_GB2312"/>
          <w:color w:val="auto"/>
          <w:szCs w:val="32"/>
          <w:highlight w:val="none"/>
        </w:rPr>
        <w:t>值和评审因素中的施工组织设计权数予以调整。</w:t>
      </w:r>
    </w:p>
    <w:p>
      <w:pPr>
        <w:ind w:firstLine="624" w:firstLineChars="200"/>
        <w:rPr>
          <w:rFonts w:hAnsi="仿宋_GB2312"/>
          <w:color w:val="auto"/>
          <w:szCs w:val="32"/>
          <w:highlight w:val="none"/>
        </w:rPr>
      </w:pPr>
      <w:r>
        <w:rPr>
          <w:rFonts w:hAnsi="仿宋_GB2312"/>
          <w:b/>
          <w:bCs/>
          <w:color w:val="auto"/>
          <w:szCs w:val="32"/>
          <w:highlight w:val="none"/>
        </w:rPr>
        <w:t>第十九条</w:t>
      </w:r>
      <w:r>
        <w:rPr>
          <w:color w:val="auto"/>
          <w:szCs w:val="32"/>
          <w:highlight w:val="none"/>
        </w:rPr>
        <w:t xml:space="preserve">  </w:t>
      </w:r>
      <w:r>
        <w:rPr>
          <w:rFonts w:hAnsi="仿宋_GB2312"/>
          <w:color w:val="auto"/>
          <w:szCs w:val="32"/>
          <w:highlight w:val="none"/>
        </w:rPr>
        <w:t>施工组织设计评审包括施工方案、安全质量和环境保护管理体系、工程进度计划措施、资源配备等。</w:t>
      </w:r>
    </w:p>
    <w:p>
      <w:pPr>
        <w:ind w:firstLine="624" w:firstLineChars="200"/>
        <w:rPr>
          <w:color w:val="auto"/>
          <w:szCs w:val="32"/>
          <w:highlight w:val="none"/>
        </w:rPr>
      </w:pPr>
      <w:r>
        <w:rPr>
          <w:rFonts w:hAnsi="仿宋_GB2312"/>
          <w:b/>
          <w:bCs/>
          <w:color w:val="auto"/>
          <w:szCs w:val="32"/>
          <w:highlight w:val="none"/>
        </w:rPr>
        <w:t>第二十条</w:t>
      </w:r>
      <w:r>
        <w:rPr>
          <w:color w:val="auto"/>
          <w:szCs w:val="32"/>
          <w:highlight w:val="none"/>
        </w:rPr>
        <w:t xml:space="preserve">  </w:t>
      </w:r>
      <w:r>
        <w:rPr>
          <w:rFonts w:hAnsi="仿宋_GB2312"/>
          <w:color w:val="auto"/>
          <w:szCs w:val="32"/>
          <w:highlight w:val="none"/>
        </w:rPr>
        <w:t>企业资信及履约能力评审包括投标人的奖项、标准化工地、类似工程业绩、信用评价、项目</w:t>
      </w:r>
      <w:r>
        <w:rPr>
          <w:color w:val="auto"/>
          <w:szCs w:val="32"/>
          <w:highlight w:val="none"/>
        </w:rPr>
        <w:t>经理</w:t>
      </w:r>
      <w:r>
        <w:rPr>
          <w:rFonts w:hint="eastAsia"/>
          <w:color w:val="auto"/>
          <w:szCs w:val="32"/>
          <w:highlight w:val="none"/>
        </w:rPr>
        <w:t>能力</w:t>
      </w:r>
      <w:r>
        <w:rPr>
          <w:rFonts w:hAnsi="仿宋_GB2312"/>
          <w:color w:val="auto"/>
          <w:szCs w:val="32"/>
          <w:highlight w:val="none"/>
        </w:rPr>
        <w:t>等。</w:t>
      </w:r>
    </w:p>
    <w:p>
      <w:pPr>
        <w:ind w:firstLine="624" w:firstLineChars="200"/>
        <w:rPr>
          <w:color w:val="auto"/>
          <w:szCs w:val="32"/>
          <w:highlight w:val="none"/>
        </w:rPr>
      </w:pPr>
      <w:r>
        <w:rPr>
          <w:rFonts w:hAnsi="仿宋_GB2312"/>
          <w:b/>
          <w:bCs/>
          <w:color w:val="auto"/>
          <w:szCs w:val="32"/>
          <w:highlight w:val="none"/>
        </w:rPr>
        <w:t>第二十一条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招标人可以根据招标项目本身的要求，在招标公告中，要求投标人提供类似工程业绩情况。招标人要求投标人提供的类似工程业绩，应当符合以下要求：</w:t>
      </w:r>
    </w:p>
    <w:p>
      <w:pPr>
        <w:ind w:firstLine="624" w:firstLineChars="200"/>
        <w:rPr>
          <w:color w:val="auto"/>
          <w:szCs w:val="32"/>
          <w:highlight w:val="none"/>
        </w:rPr>
      </w:pPr>
      <w:r>
        <w:rPr>
          <w:rFonts w:hAnsi="仿宋_GB2312"/>
          <w:color w:val="auto"/>
          <w:szCs w:val="32"/>
          <w:highlight w:val="none"/>
        </w:rPr>
        <w:t>（一）用于资格要求的类似工程业绩原则上不超过招标项目相关指标的</w:t>
      </w:r>
      <w:r>
        <w:rPr>
          <w:color w:val="auto"/>
          <w:szCs w:val="32"/>
          <w:highlight w:val="none"/>
        </w:rPr>
        <w:t>50%</w:t>
      </w:r>
      <w:r>
        <w:rPr>
          <w:rFonts w:hAnsi="仿宋_GB2312"/>
          <w:color w:val="auto"/>
          <w:szCs w:val="32"/>
          <w:highlight w:val="none"/>
        </w:rPr>
        <w:t>（四舍五入取整数，下同）；采用经评审的最低投标价法的项目，不得将类似工程业绩作为资格条件。</w:t>
      </w:r>
    </w:p>
    <w:p>
      <w:pPr>
        <w:ind w:firstLine="624" w:firstLineChars="200"/>
        <w:rPr>
          <w:color w:val="auto"/>
          <w:szCs w:val="32"/>
          <w:highlight w:val="none"/>
        </w:rPr>
      </w:pPr>
      <w:r>
        <w:rPr>
          <w:rFonts w:hAnsi="仿宋_GB2312"/>
          <w:color w:val="auto"/>
          <w:szCs w:val="32"/>
          <w:highlight w:val="none"/>
        </w:rPr>
        <w:t>（二）用于评审加分的类似工程业绩原则上为招标项目相关指标的</w:t>
      </w:r>
      <w:r>
        <w:rPr>
          <w:color w:val="auto"/>
          <w:szCs w:val="32"/>
          <w:highlight w:val="none"/>
        </w:rPr>
        <w:t>70%</w:t>
      </w:r>
      <w:r>
        <w:rPr>
          <w:rFonts w:hAnsi="仿宋_GB2312"/>
          <w:color w:val="auto"/>
          <w:szCs w:val="32"/>
          <w:highlight w:val="none"/>
        </w:rPr>
        <w:t>。</w:t>
      </w:r>
    </w:p>
    <w:p>
      <w:pPr>
        <w:ind w:firstLine="624" w:firstLineChars="200"/>
        <w:rPr>
          <w:color w:val="auto"/>
          <w:szCs w:val="32"/>
          <w:highlight w:val="none"/>
        </w:rPr>
      </w:pPr>
      <w:r>
        <w:rPr>
          <w:rFonts w:hAnsi="仿宋_GB2312"/>
          <w:color w:val="auto"/>
          <w:szCs w:val="32"/>
          <w:highlight w:val="none"/>
        </w:rPr>
        <w:t>招标项目相关指标</w:t>
      </w:r>
      <w:r>
        <w:rPr>
          <w:rFonts w:hint="eastAsia" w:hAnsi="仿宋_GB2312"/>
          <w:color w:val="auto"/>
          <w:szCs w:val="32"/>
          <w:highlight w:val="none"/>
        </w:rPr>
        <w:t>、</w:t>
      </w:r>
      <w:r>
        <w:rPr>
          <w:rFonts w:hAnsi="仿宋_GB2312"/>
          <w:color w:val="auto"/>
          <w:szCs w:val="32"/>
          <w:highlight w:val="none"/>
        </w:rPr>
        <w:t>特征，应当按照以下要求设定：</w:t>
      </w:r>
    </w:p>
    <w:p>
      <w:pPr>
        <w:ind w:firstLine="624" w:firstLineChars="200"/>
        <w:rPr>
          <w:color w:val="auto"/>
          <w:szCs w:val="32"/>
          <w:highlight w:val="none"/>
        </w:rPr>
      </w:pPr>
      <w:r>
        <w:rPr>
          <w:rFonts w:hAnsi="仿宋_GB2312"/>
          <w:color w:val="auto"/>
          <w:szCs w:val="32"/>
          <w:highlight w:val="none"/>
        </w:rPr>
        <w:t>（一）房屋建筑工程招标项目采用层数、高度、建筑面积、结构、跨度、单项合同额等指标中的</w:t>
      </w:r>
      <w:r>
        <w:rPr>
          <w:color w:val="auto"/>
          <w:szCs w:val="32"/>
          <w:highlight w:val="none"/>
        </w:rPr>
        <w:t>1-2</w:t>
      </w:r>
      <w:r>
        <w:rPr>
          <w:rFonts w:hAnsi="仿宋_GB2312"/>
          <w:color w:val="auto"/>
          <w:szCs w:val="32"/>
          <w:highlight w:val="none"/>
        </w:rPr>
        <w:t>项；</w:t>
      </w:r>
    </w:p>
    <w:p>
      <w:pPr>
        <w:ind w:firstLine="624" w:firstLineChars="200"/>
        <w:rPr>
          <w:rFonts w:hAnsi="仿宋_GB2312"/>
          <w:color w:val="auto"/>
          <w:szCs w:val="32"/>
          <w:highlight w:val="none"/>
        </w:rPr>
      </w:pPr>
      <w:r>
        <w:rPr>
          <w:rFonts w:hAnsi="仿宋_GB2312"/>
          <w:color w:val="auto"/>
          <w:szCs w:val="32"/>
          <w:highlight w:val="none"/>
        </w:rPr>
        <w:t>（二）市政基础设施工程招标项目采用道路长度或者面积、桥梁长度或者面积或者跨度或者结构、管道直径或者压力、隧道和地下交通工程断面面积、供水能力、供气能力、供热能力、污水处理能力、垃圾处理能力、园林绿化规模以及单项合同额等指标中的</w:t>
      </w:r>
      <w:r>
        <w:rPr>
          <w:color w:val="auto"/>
          <w:szCs w:val="32"/>
          <w:highlight w:val="none"/>
        </w:rPr>
        <w:t>1-2</w:t>
      </w:r>
      <w:r>
        <w:rPr>
          <w:rFonts w:hAnsi="仿宋_GB2312"/>
          <w:color w:val="auto"/>
          <w:szCs w:val="32"/>
          <w:highlight w:val="none"/>
        </w:rPr>
        <w:t>项。</w:t>
      </w:r>
    </w:p>
    <w:p>
      <w:pPr>
        <w:ind w:firstLine="624" w:firstLineChars="200"/>
        <w:rPr>
          <w:rFonts w:hint="eastAsia"/>
          <w:color w:val="auto"/>
          <w:szCs w:val="32"/>
          <w:highlight w:val="none"/>
        </w:rPr>
      </w:pPr>
      <w:r>
        <w:rPr>
          <w:rFonts w:hint="eastAsia" w:hAnsi="仿宋_GB2312"/>
          <w:color w:val="auto"/>
          <w:szCs w:val="32"/>
          <w:highlight w:val="none"/>
        </w:rPr>
        <w:t>招标人应当</w:t>
      </w:r>
      <w:r>
        <w:rPr>
          <w:rFonts w:hAnsi="仿宋_GB2312"/>
          <w:color w:val="auto"/>
          <w:szCs w:val="32"/>
          <w:highlight w:val="none"/>
        </w:rPr>
        <w:t>根据招标项目实际，合理</w:t>
      </w:r>
      <w:r>
        <w:rPr>
          <w:rFonts w:hint="eastAsia" w:hAnsi="仿宋_GB2312"/>
          <w:color w:val="auto"/>
          <w:szCs w:val="32"/>
          <w:highlight w:val="none"/>
        </w:rPr>
        <w:t>设置</w:t>
      </w:r>
      <w:r>
        <w:rPr>
          <w:rFonts w:hAnsi="仿宋_GB2312"/>
          <w:color w:val="auto"/>
          <w:szCs w:val="32"/>
          <w:highlight w:val="none"/>
        </w:rPr>
        <w:t>类似工程相关指标和特征。</w:t>
      </w:r>
    </w:p>
    <w:p>
      <w:pPr>
        <w:ind w:firstLine="624" w:firstLineChars="200"/>
        <w:rPr>
          <w:color w:val="auto"/>
          <w:szCs w:val="32"/>
          <w:highlight w:val="none"/>
        </w:rPr>
      </w:pPr>
      <w:r>
        <w:rPr>
          <w:rFonts w:hAnsi="仿宋_GB2312"/>
          <w:b/>
          <w:bCs/>
          <w:color w:val="auto"/>
          <w:szCs w:val="32"/>
          <w:highlight w:val="none"/>
        </w:rPr>
        <w:t>第二十</w:t>
      </w:r>
      <w:r>
        <w:rPr>
          <w:rFonts w:hint="eastAsia" w:hAnsi="仿宋_GB2312"/>
          <w:b/>
          <w:bCs/>
          <w:color w:val="auto"/>
          <w:szCs w:val="32"/>
          <w:highlight w:val="none"/>
        </w:rPr>
        <w:t>二</w:t>
      </w:r>
      <w:r>
        <w:rPr>
          <w:rFonts w:hAnsi="仿宋_GB2312"/>
          <w:b/>
          <w:bCs/>
          <w:color w:val="auto"/>
          <w:szCs w:val="32"/>
          <w:highlight w:val="none"/>
        </w:rPr>
        <w:t>条</w:t>
      </w:r>
      <w:r>
        <w:rPr>
          <w:color w:val="auto"/>
          <w:szCs w:val="32"/>
          <w:highlight w:val="none"/>
        </w:rPr>
        <w:t xml:space="preserve">  </w:t>
      </w:r>
      <w:r>
        <w:rPr>
          <w:rFonts w:hAnsi="仿宋_GB2312"/>
          <w:color w:val="auto"/>
          <w:szCs w:val="32"/>
          <w:highlight w:val="none"/>
        </w:rPr>
        <w:t>招标人应当按照招标范围、技术要求及国家的标准规范，并遵循国家、省颁发的计价依据和计价办法编制工程量清单和最高投标限价。</w:t>
      </w:r>
    </w:p>
    <w:p>
      <w:pPr>
        <w:ind w:firstLine="624" w:firstLineChars="200"/>
        <w:rPr>
          <w:color w:val="auto"/>
          <w:szCs w:val="32"/>
          <w:highlight w:val="none"/>
        </w:rPr>
      </w:pPr>
      <w:r>
        <w:rPr>
          <w:rFonts w:hAnsi="仿宋_GB2312"/>
          <w:b/>
          <w:bCs/>
          <w:color w:val="auto"/>
          <w:szCs w:val="32"/>
          <w:highlight w:val="none"/>
        </w:rPr>
        <w:t>第二十</w:t>
      </w:r>
      <w:r>
        <w:rPr>
          <w:b/>
          <w:bCs/>
          <w:color w:val="auto"/>
          <w:szCs w:val="32"/>
          <w:highlight w:val="none"/>
        </w:rPr>
        <w:t>三</w:t>
      </w:r>
      <w:r>
        <w:rPr>
          <w:rFonts w:hAnsi="仿宋_GB2312"/>
          <w:b/>
          <w:bCs/>
          <w:color w:val="auto"/>
          <w:szCs w:val="32"/>
          <w:highlight w:val="none"/>
        </w:rPr>
        <w:t>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招标文件应当设定报价评审警戒线。报价评审警戒线为进入详细评审的合格投标人投标报价算术平均值的</w:t>
      </w:r>
      <w:r>
        <w:rPr>
          <w:color w:val="auto"/>
          <w:szCs w:val="32"/>
          <w:highlight w:val="none"/>
        </w:rPr>
        <w:t>95%</w:t>
      </w:r>
      <w:r>
        <w:rPr>
          <w:rFonts w:hAnsi="仿宋_GB2312"/>
          <w:color w:val="auto"/>
          <w:szCs w:val="32"/>
          <w:highlight w:val="none"/>
        </w:rPr>
        <w:t>。</w:t>
      </w:r>
    </w:p>
    <w:p>
      <w:pPr>
        <w:ind w:firstLine="624" w:firstLineChars="200"/>
        <w:rPr>
          <w:color w:val="auto"/>
          <w:szCs w:val="32"/>
          <w:highlight w:val="none"/>
        </w:rPr>
      </w:pPr>
      <w:r>
        <w:rPr>
          <w:rFonts w:hAnsi="仿宋_GB2312"/>
          <w:b/>
          <w:bCs/>
          <w:color w:val="auto"/>
          <w:szCs w:val="32"/>
          <w:highlight w:val="none"/>
        </w:rPr>
        <w:t>第二十</w:t>
      </w:r>
      <w:r>
        <w:rPr>
          <w:b/>
          <w:bCs/>
          <w:color w:val="auto"/>
          <w:szCs w:val="32"/>
          <w:highlight w:val="none"/>
        </w:rPr>
        <w:t>四</w:t>
      </w:r>
      <w:r>
        <w:rPr>
          <w:rFonts w:hAnsi="仿宋_GB2312"/>
          <w:b/>
          <w:bCs/>
          <w:color w:val="auto"/>
          <w:szCs w:val="32"/>
          <w:highlight w:val="none"/>
        </w:rPr>
        <w:t>条</w:t>
      </w:r>
      <w:r>
        <w:rPr>
          <w:color w:val="auto"/>
          <w:szCs w:val="32"/>
          <w:highlight w:val="none"/>
        </w:rPr>
        <w:t xml:space="preserve">  </w:t>
      </w:r>
      <w:r>
        <w:rPr>
          <w:rFonts w:hAnsi="仿宋_GB2312"/>
          <w:color w:val="auto"/>
          <w:szCs w:val="32"/>
          <w:highlight w:val="none"/>
        </w:rPr>
        <w:t>评标委员会应当对低于报价评审警戒线的投标报价进行评审。有下列情形之一的，应当判定为以低于成本报价竞争。</w:t>
      </w:r>
    </w:p>
    <w:p>
      <w:pPr>
        <w:ind w:firstLine="624" w:firstLineChars="200"/>
        <w:rPr>
          <w:color w:val="auto"/>
          <w:szCs w:val="32"/>
          <w:highlight w:val="none"/>
        </w:rPr>
      </w:pPr>
      <w:r>
        <w:rPr>
          <w:rFonts w:hAnsi="仿宋_GB2312"/>
          <w:color w:val="auto"/>
          <w:szCs w:val="32"/>
          <w:highlight w:val="none"/>
        </w:rPr>
        <w:t>（一）经评审论证，认定该投标人的报价低于成本的；</w:t>
      </w:r>
    </w:p>
    <w:p>
      <w:pPr>
        <w:ind w:firstLine="624" w:firstLineChars="200"/>
        <w:rPr>
          <w:rFonts w:hAnsi="仿宋_GB2312"/>
          <w:color w:val="auto"/>
          <w:szCs w:val="32"/>
          <w:highlight w:val="none"/>
        </w:rPr>
      </w:pPr>
      <w:r>
        <w:rPr>
          <w:rFonts w:hAnsi="仿宋_GB2312"/>
          <w:color w:val="auto"/>
          <w:szCs w:val="32"/>
          <w:highlight w:val="none"/>
        </w:rPr>
        <w:t>（二）投标报价明显低于其他投标报价，有可能低于成本的，应当要求投标人作出书面说明并提供相关材料。投标人不能合理说明或者不能提供相关证明材料的</w:t>
      </w:r>
      <w:r>
        <w:rPr>
          <w:color w:val="auto"/>
          <w:szCs w:val="32"/>
          <w:highlight w:val="none"/>
        </w:rPr>
        <w:t>，</w:t>
      </w:r>
      <w:r>
        <w:rPr>
          <w:rFonts w:hAnsi="仿宋_GB2312"/>
          <w:color w:val="auto"/>
          <w:szCs w:val="32"/>
          <w:highlight w:val="none"/>
        </w:rPr>
        <w:t>应当认定该投标人的报价低于成本。</w:t>
      </w:r>
    </w:p>
    <w:p>
      <w:pPr>
        <w:ind w:firstLine="624" w:firstLineChars="200"/>
        <w:rPr>
          <w:color w:val="auto"/>
          <w:szCs w:val="32"/>
          <w:highlight w:val="none"/>
        </w:rPr>
      </w:pPr>
      <w:r>
        <w:rPr>
          <w:rFonts w:hAnsi="仿宋_GB2312"/>
          <w:b/>
          <w:bCs/>
          <w:color w:val="auto"/>
          <w:szCs w:val="32"/>
          <w:highlight w:val="none"/>
        </w:rPr>
        <w:t>第二十</w:t>
      </w:r>
      <w:r>
        <w:rPr>
          <w:rFonts w:hint="eastAsia"/>
          <w:b/>
          <w:bCs/>
          <w:color w:val="auto"/>
          <w:szCs w:val="32"/>
          <w:highlight w:val="none"/>
        </w:rPr>
        <w:t>五</w:t>
      </w:r>
      <w:r>
        <w:rPr>
          <w:rFonts w:hAnsi="仿宋_GB2312"/>
          <w:b/>
          <w:bCs/>
          <w:color w:val="auto"/>
          <w:szCs w:val="32"/>
          <w:highlight w:val="none"/>
        </w:rPr>
        <w:t>条</w:t>
      </w:r>
      <w:r>
        <w:rPr>
          <w:color w:val="auto"/>
          <w:szCs w:val="32"/>
          <w:highlight w:val="none"/>
        </w:rPr>
        <w:t xml:space="preserve">  </w:t>
      </w:r>
      <w:r>
        <w:rPr>
          <w:rFonts w:hAnsi="仿宋_GB2312"/>
          <w:color w:val="auto"/>
          <w:szCs w:val="32"/>
          <w:highlight w:val="none"/>
        </w:rPr>
        <w:t>以低于成本报价竞争的，其报价为无效报价，应当否决其投标。评标委员会应将成本评审过程中，认定投标人以低于成本报价竞争等情况作出详细说明并记录在案。</w:t>
      </w:r>
    </w:p>
    <w:p>
      <w:pPr>
        <w:ind w:firstLine="624" w:firstLineChars="200"/>
        <w:rPr>
          <w:color w:val="auto"/>
          <w:szCs w:val="32"/>
          <w:highlight w:val="none"/>
        </w:rPr>
      </w:pPr>
      <w:r>
        <w:rPr>
          <w:rFonts w:hAnsi="仿宋_GB2312"/>
          <w:b/>
          <w:bCs/>
          <w:color w:val="auto"/>
          <w:szCs w:val="32"/>
          <w:highlight w:val="none"/>
        </w:rPr>
        <w:t>第二十</w:t>
      </w:r>
      <w:r>
        <w:rPr>
          <w:rFonts w:hint="eastAsia"/>
          <w:b/>
          <w:bCs/>
          <w:color w:val="auto"/>
          <w:szCs w:val="32"/>
          <w:highlight w:val="none"/>
        </w:rPr>
        <w:t>六</w:t>
      </w:r>
      <w:r>
        <w:rPr>
          <w:rFonts w:hAnsi="仿宋_GB2312"/>
          <w:b/>
          <w:bCs/>
          <w:color w:val="auto"/>
          <w:szCs w:val="32"/>
          <w:highlight w:val="none"/>
        </w:rPr>
        <w:t>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投标文件存在以下情形，评标委员会可以要求投标人在评标结束之前作出澄清、说明或补正。澄清、说明或补正应当采用书面形式，并经投标人的法定代表人或其授权的委托代理人签字，且不得改变投标文件的实质性内容。</w:t>
      </w:r>
    </w:p>
    <w:p>
      <w:pPr>
        <w:ind w:firstLine="624" w:firstLineChars="200"/>
        <w:rPr>
          <w:color w:val="auto"/>
          <w:szCs w:val="32"/>
          <w:highlight w:val="none"/>
        </w:rPr>
      </w:pPr>
      <w:r>
        <w:rPr>
          <w:rFonts w:hAnsi="仿宋_GB2312"/>
          <w:color w:val="auto"/>
          <w:szCs w:val="32"/>
          <w:highlight w:val="none"/>
        </w:rPr>
        <w:t>（一）投标文件中含义不明确、对同类问题表述不一致或有明显文字或计算错误的内容；</w:t>
      </w:r>
    </w:p>
    <w:p>
      <w:pPr>
        <w:ind w:firstLine="624" w:firstLineChars="200"/>
        <w:rPr>
          <w:color w:val="auto"/>
          <w:szCs w:val="32"/>
          <w:highlight w:val="none"/>
        </w:rPr>
      </w:pPr>
      <w:r>
        <w:rPr>
          <w:rFonts w:hAnsi="仿宋_GB2312"/>
          <w:color w:val="auto"/>
          <w:szCs w:val="32"/>
          <w:highlight w:val="none"/>
        </w:rPr>
        <w:t>（二）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ind w:firstLine="624" w:firstLineChars="200"/>
        <w:rPr>
          <w:color w:val="auto"/>
          <w:szCs w:val="32"/>
          <w:highlight w:val="none"/>
        </w:rPr>
      </w:pPr>
      <w:r>
        <w:rPr>
          <w:rFonts w:hAnsi="仿宋_GB2312"/>
          <w:b/>
          <w:bCs/>
          <w:color w:val="auto"/>
          <w:szCs w:val="32"/>
          <w:highlight w:val="none"/>
        </w:rPr>
        <w:t>第二十</w:t>
      </w:r>
      <w:r>
        <w:rPr>
          <w:rFonts w:hint="eastAsia"/>
          <w:b/>
          <w:bCs/>
          <w:color w:val="auto"/>
          <w:szCs w:val="32"/>
          <w:highlight w:val="none"/>
        </w:rPr>
        <w:t>七</w:t>
      </w:r>
      <w:r>
        <w:rPr>
          <w:rFonts w:hAnsi="仿宋_GB2312"/>
          <w:b/>
          <w:bCs/>
          <w:color w:val="auto"/>
          <w:szCs w:val="32"/>
          <w:highlight w:val="none"/>
        </w:rPr>
        <w:t>条</w:t>
      </w:r>
      <w:r>
        <w:rPr>
          <w:color w:val="auto"/>
          <w:szCs w:val="32"/>
          <w:highlight w:val="none"/>
        </w:rPr>
        <w:t xml:space="preserve">  </w:t>
      </w:r>
      <w:r>
        <w:rPr>
          <w:rFonts w:hAnsi="仿宋_GB2312"/>
          <w:color w:val="auto"/>
          <w:szCs w:val="32"/>
          <w:highlight w:val="none"/>
        </w:rPr>
        <w:t>评标委员会不得接受投标人主动提出的澄清、说明或补正。</w:t>
      </w:r>
    </w:p>
    <w:p>
      <w:pPr>
        <w:ind w:firstLine="624" w:firstLineChars="200"/>
        <w:rPr>
          <w:color w:val="auto"/>
          <w:szCs w:val="32"/>
          <w:highlight w:val="none"/>
        </w:rPr>
      </w:pPr>
      <w:r>
        <w:rPr>
          <w:rFonts w:hAnsi="仿宋_GB2312"/>
          <w:color w:val="auto"/>
          <w:szCs w:val="32"/>
          <w:highlight w:val="none"/>
        </w:rPr>
        <w:t>施工组织设计采用暗标的，评标委员会不得要求投标人对施工组织设计进行澄清、说明或补正。</w:t>
      </w:r>
    </w:p>
    <w:p>
      <w:pPr>
        <w:ind w:firstLine="624" w:firstLineChars="200"/>
        <w:rPr>
          <w:color w:val="auto"/>
          <w:szCs w:val="32"/>
          <w:highlight w:val="none"/>
        </w:rPr>
      </w:pPr>
      <w:r>
        <w:rPr>
          <w:rFonts w:hAnsi="仿宋_GB2312"/>
          <w:b/>
          <w:bCs/>
          <w:color w:val="auto"/>
          <w:szCs w:val="32"/>
          <w:highlight w:val="none"/>
        </w:rPr>
        <w:t>第</w:t>
      </w:r>
      <w:r>
        <w:rPr>
          <w:rFonts w:hint="eastAsia" w:hAnsi="仿宋_GB2312"/>
          <w:b/>
          <w:bCs/>
          <w:color w:val="auto"/>
          <w:szCs w:val="32"/>
          <w:highlight w:val="none"/>
        </w:rPr>
        <w:t>二十八</w:t>
      </w:r>
      <w:r>
        <w:rPr>
          <w:rFonts w:hAnsi="仿宋_GB2312"/>
          <w:b/>
          <w:bCs/>
          <w:color w:val="auto"/>
          <w:szCs w:val="32"/>
          <w:highlight w:val="none"/>
        </w:rPr>
        <w:t>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评标活动所需的信息数据采用湖南省住房和城乡建设厅官网公布的信息。</w:t>
      </w:r>
    </w:p>
    <w:p>
      <w:pPr>
        <w:ind w:firstLine="624" w:firstLineChars="200"/>
        <w:rPr>
          <w:color w:val="auto"/>
          <w:szCs w:val="32"/>
          <w:highlight w:val="none"/>
        </w:rPr>
      </w:pPr>
      <w:r>
        <w:rPr>
          <w:rFonts w:hAnsi="仿宋_GB2312"/>
          <w:b/>
          <w:bCs/>
          <w:color w:val="auto"/>
          <w:szCs w:val="32"/>
          <w:highlight w:val="none"/>
        </w:rPr>
        <w:t>第</w:t>
      </w:r>
      <w:r>
        <w:rPr>
          <w:rFonts w:hint="eastAsia" w:hAnsi="仿宋_GB2312"/>
          <w:b/>
          <w:bCs/>
          <w:color w:val="auto"/>
          <w:szCs w:val="32"/>
          <w:highlight w:val="none"/>
        </w:rPr>
        <w:t>二十九</w:t>
      </w:r>
      <w:r>
        <w:rPr>
          <w:rFonts w:hAnsi="仿宋_GB2312"/>
          <w:b/>
          <w:bCs/>
          <w:color w:val="auto"/>
          <w:szCs w:val="32"/>
          <w:highlight w:val="none"/>
        </w:rPr>
        <w:t>条</w:t>
      </w:r>
      <w:r>
        <w:rPr>
          <w:b/>
          <w:bCs/>
          <w:color w:val="auto"/>
          <w:szCs w:val="32"/>
          <w:highlight w:val="none"/>
        </w:rPr>
        <w:t xml:space="preserve"> </w:t>
      </w:r>
      <w:r>
        <w:rPr>
          <w:color w:val="auto"/>
          <w:szCs w:val="32"/>
          <w:highlight w:val="none"/>
        </w:rPr>
        <w:t xml:space="preserve"> </w:t>
      </w:r>
      <w:r>
        <w:rPr>
          <w:rFonts w:hAnsi="仿宋_GB2312"/>
          <w:color w:val="auto"/>
          <w:szCs w:val="32"/>
          <w:highlight w:val="none"/>
        </w:rPr>
        <w:t>评标完成后，评标委员会应当向招标人提交书面评标报告，并按招标文件的要求，推荐不超过</w:t>
      </w:r>
      <w:r>
        <w:rPr>
          <w:color w:val="auto"/>
          <w:szCs w:val="32"/>
          <w:highlight w:val="none"/>
        </w:rPr>
        <w:t>3</w:t>
      </w:r>
      <w:r>
        <w:rPr>
          <w:rFonts w:hAnsi="仿宋_GB2312"/>
          <w:color w:val="auto"/>
          <w:szCs w:val="32"/>
          <w:highlight w:val="none"/>
        </w:rPr>
        <w:t>个有排序的中标候选人，也可以推荐不超过</w:t>
      </w:r>
      <w:r>
        <w:rPr>
          <w:color w:val="auto"/>
          <w:szCs w:val="32"/>
          <w:highlight w:val="none"/>
        </w:rPr>
        <w:t>3</w:t>
      </w:r>
      <w:r>
        <w:rPr>
          <w:rFonts w:hAnsi="仿宋_GB2312"/>
          <w:color w:val="auto"/>
          <w:szCs w:val="32"/>
          <w:highlight w:val="none"/>
        </w:rPr>
        <w:t>个不排序的中标候选人，由招标人确定中标人。投标人评标总得分相同时，按照其投标报价由低至高排序。</w:t>
      </w:r>
    </w:p>
    <w:p>
      <w:pPr>
        <w:ind w:firstLine="624" w:firstLineChars="200"/>
        <w:rPr>
          <w:rFonts w:hAnsi="仿宋_GB2312"/>
          <w:color w:val="auto"/>
          <w:szCs w:val="32"/>
          <w:highlight w:val="none"/>
        </w:rPr>
      </w:pPr>
      <w:r>
        <w:rPr>
          <w:rFonts w:hint="eastAsia" w:hAnsi="仿宋_GB2312"/>
          <w:color w:val="auto"/>
          <w:szCs w:val="32"/>
          <w:highlight w:val="none"/>
        </w:rPr>
        <w:t>评标专家签署评标报告前，评标委员会主任评委应当组织评标专家并邀请招标人、招标代理机构进行复核。</w:t>
      </w:r>
    </w:p>
    <w:p>
      <w:pPr>
        <w:ind w:firstLine="624" w:firstLineChars="200"/>
        <w:rPr>
          <w:color w:val="auto"/>
          <w:szCs w:val="32"/>
          <w:highlight w:val="none"/>
        </w:rPr>
      </w:pPr>
      <w:r>
        <w:rPr>
          <w:rFonts w:hAnsi="仿宋_GB2312"/>
          <w:b/>
          <w:bCs/>
          <w:color w:val="auto"/>
          <w:szCs w:val="32"/>
          <w:highlight w:val="none"/>
        </w:rPr>
        <w:t>第三十条</w:t>
      </w:r>
      <w:r>
        <w:rPr>
          <w:color w:val="auto"/>
          <w:szCs w:val="32"/>
          <w:highlight w:val="none"/>
        </w:rPr>
        <w:t xml:space="preserve"> </w:t>
      </w:r>
      <w:r>
        <w:rPr>
          <w:rFonts w:hAnsi="仿宋_GB2312"/>
          <w:color w:val="auto"/>
          <w:szCs w:val="32"/>
          <w:highlight w:val="none"/>
        </w:rPr>
        <w:t>依法可以不进行招标的房屋建筑和市政基础设施工程施工招标评标活动，可参照本办法执行。</w:t>
      </w:r>
    </w:p>
    <w:p>
      <w:pPr>
        <w:ind w:firstLine="624" w:firstLineChars="200"/>
        <w:rPr>
          <w:color w:val="auto"/>
          <w:szCs w:val="32"/>
          <w:highlight w:val="none"/>
        </w:rPr>
      </w:pPr>
      <w:r>
        <w:rPr>
          <w:rFonts w:hAnsi="仿宋_GB2312"/>
          <w:b/>
          <w:bCs/>
          <w:color w:val="auto"/>
          <w:szCs w:val="32"/>
          <w:highlight w:val="none"/>
        </w:rPr>
        <w:t>第三十</w:t>
      </w:r>
      <w:r>
        <w:rPr>
          <w:rFonts w:hint="eastAsia" w:hAnsi="仿宋_GB2312"/>
          <w:b/>
          <w:bCs/>
          <w:color w:val="auto"/>
          <w:szCs w:val="32"/>
          <w:highlight w:val="none"/>
        </w:rPr>
        <w:t>一</w:t>
      </w:r>
      <w:r>
        <w:rPr>
          <w:rFonts w:hAnsi="仿宋_GB2312"/>
          <w:b/>
          <w:bCs/>
          <w:color w:val="auto"/>
          <w:szCs w:val="32"/>
          <w:highlight w:val="none"/>
        </w:rPr>
        <w:t>条</w:t>
      </w:r>
      <w:r>
        <w:rPr>
          <w:color w:val="auto"/>
          <w:szCs w:val="32"/>
          <w:highlight w:val="none"/>
        </w:rPr>
        <w:t xml:space="preserve">  </w:t>
      </w:r>
      <w:r>
        <w:rPr>
          <w:rFonts w:hAnsi="仿宋_GB2312"/>
          <w:color w:val="auto"/>
          <w:szCs w:val="32"/>
          <w:highlight w:val="none"/>
        </w:rPr>
        <w:t>本办法自</w:t>
      </w:r>
      <w:r>
        <w:rPr>
          <w:color w:val="auto"/>
          <w:szCs w:val="32"/>
          <w:highlight w:val="none"/>
        </w:rPr>
        <w:t>20</w:t>
      </w:r>
      <w:r>
        <w:rPr>
          <w:rFonts w:hint="eastAsia"/>
          <w:color w:val="auto"/>
          <w:szCs w:val="32"/>
          <w:highlight w:val="none"/>
          <w:lang w:val="en-US" w:eastAsia="zh-CN"/>
        </w:rPr>
        <w:t>XX</w:t>
      </w:r>
      <w:r>
        <w:rPr>
          <w:rFonts w:hAnsi="仿宋_GB2312"/>
          <w:color w:val="auto"/>
          <w:szCs w:val="32"/>
          <w:highlight w:val="none"/>
        </w:rPr>
        <w:t>年</w:t>
      </w:r>
      <w:r>
        <w:rPr>
          <w:rFonts w:hint="eastAsia"/>
          <w:color w:val="auto"/>
          <w:szCs w:val="32"/>
          <w:highlight w:val="none"/>
          <w:lang w:val="en-US" w:eastAsia="zh-CN"/>
        </w:rPr>
        <w:t>XX</w:t>
      </w:r>
      <w:r>
        <w:rPr>
          <w:rFonts w:hAnsi="仿宋_GB2312"/>
          <w:color w:val="auto"/>
          <w:szCs w:val="32"/>
          <w:highlight w:val="none"/>
        </w:rPr>
        <w:t>月</w:t>
      </w:r>
      <w:r>
        <w:rPr>
          <w:rFonts w:hint="eastAsia"/>
          <w:color w:val="auto"/>
          <w:szCs w:val="32"/>
          <w:highlight w:val="none"/>
          <w:lang w:val="en-US" w:eastAsia="zh-CN"/>
        </w:rPr>
        <w:t>XX</w:t>
      </w:r>
      <w:r>
        <w:rPr>
          <w:rFonts w:hAnsi="仿宋_GB2312"/>
          <w:color w:val="auto"/>
          <w:szCs w:val="32"/>
          <w:highlight w:val="none"/>
        </w:rPr>
        <w:t>日起施行，有效期至</w:t>
      </w:r>
      <w:r>
        <w:rPr>
          <w:color w:val="auto"/>
          <w:szCs w:val="32"/>
          <w:highlight w:val="none"/>
        </w:rPr>
        <w:t>20</w:t>
      </w:r>
      <w:r>
        <w:rPr>
          <w:rFonts w:hint="eastAsia"/>
          <w:color w:val="auto"/>
          <w:szCs w:val="32"/>
          <w:highlight w:val="none"/>
          <w:lang w:val="en-US" w:eastAsia="zh-CN"/>
        </w:rPr>
        <w:t>XX</w:t>
      </w:r>
      <w:r>
        <w:rPr>
          <w:rFonts w:hAnsi="仿宋_GB2312"/>
          <w:color w:val="auto"/>
          <w:szCs w:val="32"/>
          <w:highlight w:val="none"/>
        </w:rPr>
        <w:t>年</w:t>
      </w:r>
      <w:r>
        <w:rPr>
          <w:rFonts w:hint="eastAsia"/>
          <w:color w:val="auto"/>
          <w:szCs w:val="32"/>
          <w:highlight w:val="none"/>
          <w:lang w:val="en-US" w:eastAsia="zh-CN"/>
        </w:rPr>
        <w:t>XX</w:t>
      </w:r>
      <w:r>
        <w:rPr>
          <w:rFonts w:hAnsi="仿宋_GB2312"/>
          <w:color w:val="auto"/>
          <w:szCs w:val="32"/>
          <w:highlight w:val="none"/>
        </w:rPr>
        <w:t>月</w:t>
      </w:r>
      <w:r>
        <w:rPr>
          <w:rFonts w:hint="eastAsia"/>
          <w:color w:val="auto"/>
          <w:szCs w:val="32"/>
          <w:highlight w:val="none"/>
          <w:lang w:val="en-US" w:eastAsia="zh-CN"/>
        </w:rPr>
        <w:t>XX</w:t>
      </w:r>
      <w:r>
        <w:rPr>
          <w:rFonts w:hAnsi="仿宋_GB2312"/>
          <w:color w:val="auto"/>
          <w:szCs w:val="32"/>
          <w:highlight w:val="none"/>
        </w:rPr>
        <w:t>日止。</w:t>
      </w:r>
    </w:p>
    <w:p>
      <w:pPr>
        <w:ind w:firstLine="624" w:firstLineChars="200"/>
        <w:rPr>
          <w:color w:val="auto"/>
          <w:szCs w:val="32"/>
          <w:highlight w:val="none"/>
        </w:rPr>
      </w:pPr>
    </w:p>
    <w:p>
      <w:pPr>
        <w:autoSpaceDE w:val="0"/>
        <w:autoSpaceDN w:val="0"/>
        <w:ind w:firstLine="624" w:firstLineChars="200"/>
        <w:rPr>
          <w:color w:val="auto"/>
          <w:kern w:val="0"/>
          <w:szCs w:val="32"/>
          <w:highlight w:val="none"/>
        </w:rPr>
      </w:pPr>
      <w:r>
        <w:rPr>
          <w:rFonts w:hAnsi="仿宋_GB2312"/>
          <w:color w:val="auto"/>
          <w:szCs w:val="32"/>
          <w:highlight w:val="none"/>
        </w:rPr>
        <w:t>附件：</w:t>
      </w:r>
      <w:r>
        <w:rPr>
          <w:color w:val="auto"/>
          <w:kern w:val="0"/>
          <w:szCs w:val="32"/>
          <w:highlight w:val="none"/>
        </w:rPr>
        <w:t>1．经评审的最低投标价法</w:t>
      </w:r>
    </w:p>
    <w:p>
      <w:pPr>
        <w:autoSpaceDE w:val="0"/>
        <w:autoSpaceDN w:val="0"/>
        <w:ind w:firstLine="1623" w:firstLineChars="520"/>
        <w:rPr>
          <w:color w:val="auto"/>
          <w:kern w:val="0"/>
          <w:szCs w:val="32"/>
          <w:highlight w:val="none"/>
        </w:rPr>
      </w:pPr>
      <w:r>
        <w:rPr>
          <w:color w:val="auto"/>
          <w:kern w:val="0"/>
          <w:szCs w:val="32"/>
          <w:highlight w:val="none"/>
        </w:rPr>
        <w:t>2．综合评估法</w:t>
      </w:r>
    </w:p>
    <w:p>
      <w:pPr>
        <w:autoSpaceDE w:val="0"/>
        <w:autoSpaceDN w:val="0"/>
        <w:ind w:firstLine="1623" w:firstLineChars="520"/>
        <w:rPr>
          <w:color w:val="auto"/>
          <w:kern w:val="0"/>
          <w:szCs w:val="32"/>
          <w:highlight w:val="none"/>
        </w:rPr>
      </w:pPr>
      <w:r>
        <w:rPr>
          <w:color w:val="auto"/>
          <w:kern w:val="0"/>
          <w:szCs w:val="32"/>
          <w:highlight w:val="none"/>
        </w:rPr>
        <w:t>3．施工组织设计评审表</w:t>
      </w:r>
    </w:p>
    <w:p>
      <w:pPr>
        <w:autoSpaceDE w:val="0"/>
        <w:autoSpaceDN w:val="0"/>
        <w:ind w:firstLine="1623" w:firstLineChars="520"/>
        <w:rPr>
          <w:color w:val="auto"/>
          <w:kern w:val="0"/>
          <w:szCs w:val="32"/>
          <w:highlight w:val="none"/>
        </w:rPr>
      </w:pPr>
      <w:r>
        <w:rPr>
          <w:color w:val="auto"/>
          <w:kern w:val="0"/>
          <w:szCs w:val="32"/>
          <w:highlight w:val="none"/>
        </w:rPr>
        <w:t>4．企业资信及履约能力评审表</w:t>
      </w:r>
    </w:p>
    <w:p>
      <w:pPr>
        <w:autoSpaceDE w:val="0"/>
        <w:autoSpaceDN w:val="0"/>
        <w:ind w:firstLine="1623" w:firstLineChars="520"/>
        <w:rPr>
          <w:color w:val="auto"/>
          <w:kern w:val="0"/>
          <w:szCs w:val="32"/>
          <w:highlight w:val="none"/>
        </w:rPr>
      </w:pPr>
      <w:r>
        <w:rPr>
          <w:color w:val="auto"/>
          <w:kern w:val="0"/>
          <w:szCs w:val="32"/>
          <w:highlight w:val="none"/>
        </w:rPr>
        <w:t>5．投标报价评审表</w:t>
      </w:r>
    </w:p>
    <w:p>
      <w:pPr>
        <w:ind w:firstLine="1623" w:firstLineChars="520"/>
        <w:rPr>
          <w:rFonts w:hint="eastAsia"/>
          <w:color w:val="auto"/>
          <w:kern w:val="0"/>
          <w:szCs w:val="32"/>
          <w:highlight w:val="none"/>
        </w:rPr>
      </w:pPr>
      <w:r>
        <w:rPr>
          <w:color w:val="auto"/>
          <w:kern w:val="0"/>
          <w:szCs w:val="32"/>
          <w:highlight w:val="none"/>
        </w:rPr>
        <w:t>6</w:t>
      </w:r>
      <w:r>
        <w:rPr>
          <w:rFonts w:hint="eastAsia"/>
          <w:color w:val="auto"/>
          <w:kern w:val="0"/>
          <w:szCs w:val="32"/>
          <w:highlight w:val="none"/>
        </w:rPr>
        <w:t>．标准施工资格预审文件</w:t>
      </w:r>
    </w:p>
    <w:p>
      <w:pPr>
        <w:ind w:firstLine="1623" w:firstLineChars="520"/>
        <w:rPr>
          <w:rFonts w:hint="eastAsia"/>
          <w:color w:val="auto"/>
          <w:kern w:val="0"/>
          <w:szCs w:val="32"/>
          <w:highlight w:val="none"/>
        </w:rPr>
      </w:pPr>
      <w:r>
        <w:rPr>
          <w:rFonts w:hint="eastAsia"/>
          <w:color w:val="auto"/>
          <w:kern w:val="0"/>
          <w:szCs w:val="32"/>
          <w:highlight w:val="none"/>
        </w:rPr>
        <w:t xml:space="preserve">7.  </w:t>
      </w:r>
      <w:r>
        <w:rPr>
          <w:color w:val="auto"/>
          <w:kern w:val="0"/>
          <w:szCs w:val="32"/>
          <w:highlight w:val="none"/>
        </w:rPr>
        <w:t>标准施工招标文件</w:t>
      </w:r>
    </w:p>
    <w:p>
      <w:pPr>
        <w:ind w:firstLine="1623" w:firstLineChars="520"/>
        <w:rPr>
          <w:rFonts w:hint="eastAsia"/>
          <w:color w:val="auto"/>
          <w:kern w:val="0"/>
          <w:szCs w:val="32"/>
          <w:highlight w:val="none"/>
        </w:rPr>
        <w:sectPr>
          <w:footerReference r:id="rId5" w:type="first"/>
          <w:footerReference r:id="rId3" w:type="default"/>
          <w:footerReference r:id="rId4" w:type="even"/>
          <w:pgSz w:w="11907" w:h="16840"/>
          <w:pgMar w:top="2098" w:right="1588" w:bottom="2098" w:left="1588" w:header="1701" w:footer="1701" w:gutter="0"/>
          <w:cols w:space="720" w:num="1"/>
          <w:titlePg/>
          <w:docGrid w:type="linesAndChars" w:linePitch="574" w:charSpace="-1675"/>
        </w:sectPr>
      </w:pPr>
    </w:p>
    <w:p>
      <w:pPr>
        <w:rPr>
          <w:rFonts w:ascii="黑体" w:eastAsia="黑体"/>
          <w:color w:val="auto"/>
          <w:highlight w:val="none"/>
        </w:rPr>
      </w:pPr>
      <w:r>
        <w:rPr>
          <w:rFonts w:hint="eastAsia" w:ascii="黑体" w:eastAsia="黑体"/>
          <w:color w:val="auto"/>
          <w:highlight w:val="none"/>
        </w:rPr>
        <w:t>附件1</w:t>
      </w:r>
    </w:p>
    <w:p>
      <w:pPr>
        <w:jc w:val="center"/>
        <w:rPr>
          <w:rFonts w:hint="eastAsia" w:ascii="方正小标宋简体" w:eastAsia="方正小标宋简体"/>
          <w:color w:val="auto"/>
          <w:sz w:val="44"/>
          <w:szCs w:val="44"/>
          <w:highlight w:val="none"/>
        </w:rPr>
      </w:pPr>
      <w:r>
        <w:rPr>
          <w:rFonts w:hint="eastAsia" w:ascii="方正小标宋简体" w:hAnsi="仿宋_GB2312" w:eastAsia="方正小标宋简体"/>
          <w:color w:val="auto"/>
          <w:sz w:val="44"/>
          <w:szCs w:val="44"/>
          <w:highlight w:val="none"/>
        </w:rPr>
        <w:t>经评审的最低投标价法</w:t>
      </w:r>
    </w:p>
    <w:p>
      <w:pPr>
        <w:ind w:firstLine="640" w:firstLineChars="200"/>
        <w:rPr>
          <w:rFonts w:hint="eastAsia" w:ascii="黑体" w:hAnsi="Calibri" w:eastAsia="黑体"/>
          <w:color w:val="auto"/>
          <w:szCs w:val="32"/>
          <w:highlight w:val="none"/>
        </w:rPr>
      </w:pPr>
      <w:r>
        <w:rPr>
          <w:rFonts w:hint="eastAsia" w:ascii="黑体" w:eastAsia="黑体"/>
          <w:color w:val="auto"/>
          <w:highlight w:val="none"/>
        </w:rPr>
        <w:t>一、适用范围</w:t>
      </w:r>
    </w:p>
    <w:p>
      <w:pPr>
        <w:ind w:firstLine="640" w:firstLineChars="200"/>
        <w:rPr>
          <w:rFonts w:hint="eastAsia"/>
          <w:color w:val="auto"/>
          <w:highlight w:val="none"/>
        </w:rPr>
      </w:pPr>
      <w:r>
        <w:rPr>
          <w:rFonts w:ascii="仿宋_GB2312" w:hAnsi="仿宋_GB2312"/>
          <w:color w:val="auto"/>
          <w:highlight w:val="none"/>
        </w:rPr>
        <w:t>具有通用技术、性能标准或者招标人对其技术、性能没有特殊要求的工程。</w:t>
      </w:r>
    </w:p>
    <w:p>
      <w:pPr>
        <w:ind w:firstLine="640" w:firstLineChars="200"/>
        <w:rPr>
          <w:color w:val="auto"/>
          <w:highlight w:val="none"/>
        </w:rPr>
      </w:pPr>
      <w:r>
        <w:rPr>
          <w:rFonts w:ascii="仿宋_GB2312" w:hAnsi="仿宋_GB2312"/>
          <w:color w:val="auto"/>
          <w:highlight w:val="none"/>
        </w:rPr>
        <w:t>（一）符合下列情形之一的，应当采用经评审的最低投标价法：</w:t>
      </w:r>
    </w:p>
    <w:p>
      <w:pPr>
        <w:ind w:firstLine="640" w:firstLineChars="200"/>
        <w:rPr>
          <w:color w:val="auto"/>
          <w:highlight w:val="none"/>
        </w:rPr>
      </w:pPr>
      <w:r>
        <w:rPr>
          <w:color w:val="auto"/>
          <w:highlight w:val="none"/>
        </w:rPr>
        <w:t>1</w:t>
      </w:r>
      <w:r>
        <w:rPr>
          <w:rFonts w:ascii="仿宋_GB2312" w:hAnsi="仿宋_GB2312"/>
          <w:color w:val="auto"/>
          <w:highlight w:val="none"/>
        </w:rPr>
        <w:t>．施工总承包工程单项最高投标限价在</w:t>
      </w:r>
      <w:r>
        <w:rPr>
          <w:color w:val="auto"/>
          <w:highlight w:val="none"/>
        </w:rPr>
        <w:t>2000</w:t>
      </w:r>
      <w:r>
        <w:rPr>
          <w:rFonts w:ascii="仿宋_GB2312" w:hAnsi="仿宋_GB2312"/>
          <w:color w:val="auto"/>
          <w:highlight w:val="none"/>
        </w:rPr>
        <w:t>万元以下的；</w:t>
      </w:r>
    </w:p>
    <w:p>
      <w:pPr>
        <w:ind w:firstLine="640" w:firstLineChars="200"/>
        <w:rPr>
          <w:color w:val="auto"/>
          <w:highlight w:val="none"/>
        </w:rPr>
      </w:pPr>
      <w:r>
        <w:rPr>
          <w:color w:val="auto"/>
          <w:highlight w:val="none"/>
        </w:rPr>
        <w:t>2</w:t>
      </w:r>
      <w:r>
        <w:rPr>
          <w:rFonts w:ascii="仿宋_GB2312" w:hAnsi="仿宋_GB2312"/>
          <w:color w:val="auto"/>
          <w:highlight w:val="none"/>
        </w:rPr>
        <w:t>．专业承包工程单项最高投标限价在</w:t>
      </w:r>
      <w:r>
        <w:rPr>
          <w:color w:val="auto"/>
          <w:highlight w:val="none"/>
        </w:rPr>
        <w:t>800</w:t>
      </w:r>
      <w:r>
        <w:rPr>
          <w:rFonts w:ascii="仿宋_GB2312" w:hAnsi="仿宋_GB2312"/>
          <w:color w:val="auto"/>
          <w:highlight w:val="none"/>
        </w:rPr>
        <w:t>万元以下的。</w:t>
      </w:r>
    </w:p>
    <w:p>
      <w:pPr>
        <w:ind w:firstLine="640" w:firstLineChars="200"/>
        <w:rPr>
          <w:color w:val="auto"/>
          <w:highlight w:val="none"/>
        </w:rPr>
      </w:pPr>
      <w:r>
        <w:rPr>
          <w:rFonts w:ascii="仿宋_GB2312" w:hAnsi="仿宋_GB2312"/>
          <w:color w:val="auto"/>
          <w:highlight w:val="none"/>
        </w:rPr>
        <w:t>（二）符合下列情形之一的，可以采用经评审的最低投标价法：</w:t>
      </w:r>
    </w:p>
    <w:p>
      <w:pPr>
        <w:ind w:firstLine="640" w:firstLineChars="200"/>
        <w:rPr>
          <w:color w:val="auto"/>
          <w:highlight w:val="none"/>
        </w:rPr>
      </w:pPr>
      <w:r>
        <w:rPr>
          <w:color w:val="auto"/>
          <w:highlight w:val="none"/>
        </w:rPr>
        <w:t xml:space="preserve">1. </w:t>
      </w:r>
      <w:r>
        <w:rPr>
          <w:rFonts w:ascii="仿宋_GB2312" w:hAnsi="仿宋_GB2312"/>
          <w:color w:val="auto"/>
          <w:highlight w:val="none"/>
        </w:rPr>
        <w:t>施工总承包</w:t>
      </w:r>
      <w:r>
        <w:rPr>
          <w:rFonts w:hint="eastAsia" w:ascii="仿宋_GB2312"/>
          <w:color w:val="auto"/>
          <w:highlight w:val="none"/>
        </w:rPr>
        <w:t>工程</w:t>
      </w:r>
      <w:r>
        <w:rPr>
          <w:rFonts w:ascii="仿宋_GB2312" w:hAnsi="仿宋_GB2312"/>
          <w:color w:val="auto"/>
          <w:highlight w:val="none"/>
        </w:rPr>
        <w:t>单项最高投标限价</w:t>
      </w:r>
      <w:r>
        <w:rPr>
          <w:rFonts w:hint="eastAsia" w:ascii="仿宋_GB2312"/>
          <w:color w:val="auto"/>
          <w:highlight w:val="none"/>
        </w:rPr>
        <w:t>超过</w:t>
      </w:r>
      <w:r>
        <w:rPr>
          <w:color w:val="auto"/>
          <w:highlight w:val="none"/>
        </w:rPr>
        <w:t>2000</w:t>
      </w:r>
      <w:r>
        <w:rPr>
          <w:rFonts w:ascii="仿宋_GB2312" w:hAnsi="仿宋_GB2312"/>
          <w:color w:val="auto"/>
          <w:highlight w:val="none"/>
        </w:rPr>
        <w:t>万元至</w:t>
      </w:r>
      <w:r>
        <w:rPr>
          <w:color w:val="auto"/>
          <w:highlight w:val="none"/>
        </w:rPr>
        <w:t>5000</w:t>
      </w:r>
      <w:r>
        <w:rPr>
          <w:rFonts w:ascii="仿宋_GB2312" w:hAnsi="仿宋_GB2312"/>
          <w:color w:val="auto"/>
          <w:highlight w:val="none"/>
        </w:rPr>
        <w:t>万元以下的；</w:t>
      </w:r>
    </w:p>
    <w:p>
      <w:pPr>
        <w:ind w:firstLine="640" w:firstLineChars="200"/>
        <w:rPr>
          <w:rFonts w:ascii="仿宋_GB2312" w:hAnsi="仿宋_GB2312"/>
          <w:color w:val="auto"/>
          <w:highlight w:val="none"/>
        </w:rPr>
      </w:pPr>
      <w:r>
        <w:rPr>
          <w:color w:val="auto"/>
          <w:highlight w:val="none"/>
        </w:rPr>
        <w:t xml:space="preserve">2. </w:t>
      </w:r>
      <w:r>
        <w:rPr>
          <w:rFonts w:ascii="仿宋_GB2312" w:hAnsi="仿宋_GB2312"/>
          <w:color w:val="auto"/>
          <w:highlight w:val="none"/>
        </w:rPr>
        <w:t>专业承包</w:t>
      </w:r>
      <w:r>
        <w:rPr>
          <w:rFonts w:hint="eastAsia" w:ascii="仿宋_GB2312"/>
          <w:color w:val="auto"/>
          <w:highlight w:val="none"/>
        </w:rPr>
        <w:t>工程</w:t>
      </w:r>
      <w:r>
        <w:rPr>
          <w:rFonts w:ascii="仿宋_GB2312" w:hAnsi="仿宋_GB2312"/>
          <w:color w:val="auto"/>
          <w:highlight w:val="none"/>
        </w:rPr>
        <w:t>单项最高投标限价</w:t>
      </w:r>
      <w:r>
        <w:rPr>
          <w:rFonts w:hint="eastAsia" w:ascii="仿宋_GB2312"/>
          <w:color w:val="auto"/>
          <w:highlight w:val="none"/>
        </w:rPr>
        <w:t>超过</w:t>
      </w:r>
      <w:r>
        <w:rPr>
          <w:color w:val="auto"/>
          <w:highlight w:val="none"/>
        </w:rPr>
        <w:t>800</w:t>
      </w:r>
      <w:r>
        <w:rPr>
          <w:rFonts w:ascii="仿宋_GB2312" w:hAnsi="仿宋_GB2312"/>
          <w:color w:val="auto"/>
          <w:highlight w:val="none"/>
        </w:rPr>
        <w:t>万元至</w:t>
      </w:r>
      <w:r>
        <w:rPr>
          <w:color w:val="auto"/>
          <w:highlight w:val="none"/>
        </w:rPr>
        <w:t>1500</w:t>
      </w:r>
      <w:r>
        <w:rPr>
          <w:rFonts w:ascii="仿宋_GB2312" w:hAnsi="仿宋_GB2312"/>
          <w:color w:val="auto"/>
          <w:highlight w:val="none"/>
        </w:rPr>
        <w:t>万元以下的。</w:t>
      </w:r>
    </w:p>
    <w:p>
      <w:pPr>
        <w:ind w:firstLine="640" w:firstLineChars="200"/>
        <w:rPr>
          <w:rFonts w:ascii="黑体" w:hAnsi="Calibri" w:eastAsia="黑体" w:cs="宋体"/>
          <w:color w:val="auto"/>
          <w:highlight w:val="none"/>
        </w:rPr>
      </w:pPr>
      <w:r>
        <w:rPr>
          <w:rFonts w:hint="eastAsia" w:ascii="黑体" w:eastAsia="黑体"/>
          <w:color w:val="auto"/>
          <w:highlight w:val="none"/>
        </w:rPr>
        <w:t>二、评审程序与方法</w:t>
      </w:r>
    </w:p>
    <w:p>
      <w:pPr>
        <w:ind w:firstLine="643" w:firstLineChars="200"/>
        <w:rPr>
          <w:rFonts w:hint="eastAsia" w:ascii="楷体_GB2312" w:eastAsia="楷体_GB2312"/>
          <w:b/>
          <w:bCs/>
          <w:color w:val="auto"/>
          <w:highlight w:val="none"/>
        </w:rPr>
      </w:pPr>
      <w:r>
        <w:rPr>
          <w:rFonts w:hint="eastAsia" w:ascii="楷体_GB2312" w:hAnsi="仿宋_GB2312" w:eastAsia="楷体_GB2312"/>
          <w:b/>
          <w:bCs/>
          <w:color w:val="auto"/>
          <w:highlight w:val="none"/>
        </w:rPr>
        <w:t>（一）初步评审</w:t>
      </w:r>
    </w:p>
    <w:p>
      <w:pPr>
        <w:ind w:firstLine="640" w:firstLineChars="200"/>
        <w:rPr>
          <w:rFonts w:hint="eastAsia"/>
          <w:color w:val="auto"/>
          <w:highlight w:val="none"/>
        </w:rPr>
      </w:pPr>
      <w:r>
        <w:rPr>
          <w:rFonts w:ascii="仿宋_GB2312" w:hAnsi="仿宋_GB2312"/>
          <w:color w:val="auto"/>
          <w:highlight w:val="none"/>
        </w:rPr>
        <w:t>按照本办法第十三条至第十六条，以及招标文件规定，对投标文件的形式、投标人资格和实质性响应招标文件情况进行评审。对不符合相关规定和要求的投标文件予以否决。</w:t>
      </w:r>
    </w:p>
    <w:p>
      <w:pPr>
        <w:ind w:firstLine="640" w:firstLineChars="200"/>
        <w:rPr>
          <w:color w:val="auto"/>
          <w:highlight w:val="none"/>
        </w:rPr>
      </w:pPr>
      <w:r>
        <w:rPr>
          <w:rFonts w:ascii="仿宋_GB2312" w:hAnsi="仿宋_GB2312"/>
          <w:color w:val="auto"/>
          <w:highlight w:val="none"/>
        </w:rPr>
        <w:t>采取资格预审的，按照本办法第五条至第八条以及相关评审表格和招标文件之规定进行评审。</w:t>
      </w:r>
    </w:p>
    <w:p>
      <w:pPr>
        <w:ind w:firstLine="643" w:firstLineChars="200"/>
        <w:rPr>
          <w:rFonts w:ascii="楷体_GB2312" w:hAnsi="仿宋_GB2312" w:eastAsia="楷体_GB2312" w:cs="宋体"/>
          <w:b/>
          <w:bCs/>
          <w:color w:val="auto"/>
          <w:highlight w:val="none"/>
        </w:rPr>
      </w:pPr>
      <w:r>
        <w:rPr>
          <w:rFonts w:hint="eastAsia" w:ascii="楷体_GB2312" w:hAnsi="仿宋_GB2312" w:eastAsia="楷体_GB2312"/>
          <w:b/>
          <w:bCs/>
          <w:color w:val="auto"/>
          <w:highlight w:val="none"/>
        </w:rPr>
        <w:t>（二）详细评审</w:t>
      </w:r>
    </w:p>
    <w:p>
      <w:pPr>
        <w:ind w:firstLine="640" w:firstLineChars="200"/>
        <w:rPr>
          <w:rFonts w:hint="eastAsia"/>
          <w:strike/>
          <w:color w:val="auto"/>
          <w:highlight w:val="none"/>
        </w:rPr>
      </w:pPr>
      <w:r>
        <w:rPr>
          <w:rFonts w:ascii="仿宋_GB2312" w:hAnsi="仿宋_GB2312"/>
          <w:color w:val="auto"/>
          <w:highlight w:val="none"/>
        </w:rPr>
        <w:t>按照本办法第十七条确定进入详细评审的投标人。</w:t>
      </w:r>
    </w:p>
    <w:p>
      <w:pPr>
        <w:ind w:firstLine="640" w:firstLineChars="200"/>
        <w:rPr>
          <w:rFonts w:hAnsi="仿宋_GB2312"/>
          <w:color w:val="auto"/>
          <w:highlight w:val="none"/>
        </w:rPr>
      </w:pPr>
      <w:r>
        <w:rPr>
          <w:color w:val="auto"/>
          <w:highlight w:val="none"/>
        </w:rPr>
        <w:t>1</w:t>
      </w:r>
      <w:r>
        <w:rPr>
          <w:rFonts w:ascii="仿宋_GB2312" w:hAnsi="仿宋_GB2312"/>
          <w:color w:val="auto"/>
          <w:highlight w:val="none"/>
        </w:rPr>
        <w:t>．施工组织设计评审。招标人可以不要求投标人编制施工组织设计。要求编制施工组织设计的，</w:t>
      </w:r>
      <w:r>
        <w:rPr>
          <w:rFonts w:hint="eastAsia" w:ascii="仿宋_GB2312"/>
          <w:color w:val="auto"/>
          <w:highlight w:val="none"/>
        </w:rPr>
        <w:t>按照</w:t>
      </w:r>
      <w:r>
        <w:rPr>
          <w:rFonts w:ascii="仿宋_GB2312" w:hAnsi="仿宋_GB2312"/>
          <w:color w:val="auto"/>
          <w:highlight w:val="none"/>
        </w:rPr>
        <w:t>本办法第十九条</w:t>
      </w:r>
      <w:r>
        <w:rPr>
          <w:rFonts w:hint="eastAsia" w:ascii="仿宋_GB2312"/>
          <w:color w:val="auto"/>
          <w:highlight w:val="none"/>
        </w:rPr>
        <w:t>、附件</w:t>
      </w:r>
      <w:r>
        <w:rPr>
          <w:rFonts w:hint="eastAsia"/>
          <w:color w:val="auto"/>
          <w:highlight w:val="none"/>
        </w:rPr>
        <w:t>3-1</w:t>
      </w:r>
      <w:r>
        <w:rPr>
          <w:rFonts w:hint="eastAsia" w:ascii="仿宋_GB2312"/>
          <w:color w:val="auto"/>
          <w:highlight w:val="none"/>
        </w:rPr>
        <w:t>及附注进行评审</w:t>
      </w:r>
      <w:r>
        <w:rPr>
          <w:rFonts w:ascii="仿宋_GB2312" w:hAnsi="仿宋_GB2312"/>
          <w:color w:val="auto"/>
          <w:highlight w:val="none"/>
        </w:rPr>
        <w:t>。</w:t>
      </w:r>
    </w:p>
    <w:p>
      <w:pPr>
        <w:ind w:firstLine="640" w:firstLineChars="200"/>
        <w:rPr>
          <w:color w:val="auto"/>
          <w:highlight w:val="none"/>
        </w:rPr>
      </w:pPr>
      <w:r>
        <w:rPr>
          <w:color w:val="auto"/>
          <w:highlight w:val="none"/>
        </w:rPr>
        <w:t>2</w:t>
      </w:r>
      <w:r>
        <w:rPr>
          <w:rFonts w:ascii="仿宋_GB2312" w:hAnsi="仿宋_GB2312"/>
          <w:color w:val="auto"/>
          <w:highlight w:val="none"/>
        </w:rPr>
        <w:t>．</w:t>
      </w:r>
      <w:r>
        <w:rPr>
          <w:rFonts w:hint="eastAsia" w:ascii="仿宋_GB2312"/>
          <w:color w:val="auto"/>
          <w:highlight w:val="none"/>
        </w:rPr>
        <w:t>业绩及信用</w:t>
      </w:r>
      <w:r>
        <w:rPr>
          <w:rFonts w:ascii="仿宋_GB2312" w:hAnsi="仿宋_GB2312"/>
          <w:color w:val="auto"/>
          <w:highlight w:val="none"/>
        </w:rPr>
        <w:t>评审。按照本办法第二十条至第二十</w:t>
      </w:r>
      <w:r>
        <w:rPr>
          <w:rFonts w:hint="eastAsia" w:ascii="仿宋_GB2312"/>
          <w:color w:val="auto"/>
          <w:highlight w:val="none"/>
        </w:rPr>
        <w:t>一</w:t>
      </w:r>
      <w:r>
        <w:rPr>
          <w:rFonts w:ascii="仿宋_GB2312" w:hAnsi="仿宋_GB2312"/>
          <w:color w:val="auto"/>
          <w:highlight w:val="none"/>
        </w:rPr>
        <w:t>条、附件</w:t>
      </w:r>
      <w:r>
        <w:rPr>
          <w:color w:val="auto"/>
          <w:highlight w:val="none"/>
        </w:rPr>
        <w:t>4-1</w:t>
      </w:r>
      <w:r>
        <w:rPr>
          <w:rFonts w:ascii="仿宋_GB2312" w:hAnsi="仿宋_GB2312"/>
          <w:color w:val="auto"/>
          <w:highlight w:val="none"/>
        </w:rPr>
        <w:t>以及招标文件之规定进行评审。</w:t>
      </w:r>
    </w:p>
    <w:p>
      <w:pPr>
        <w:ind w:firstLine="640" w:firstLineChars="200"/>
        <w:rPr>
          <w:color w:val="auto"/>
          <w:highlight w:val="none"/>
        </w:rPr>
      </w:pPr>
      <w:r>
        <w:rPr>
          <w:color w:val="auto"/>
          <w:highlight w:val="none"/>
        </w:rPr>
        <w:t>3</w:t>
      </w:r>
      <w:r>
        <w:rPr>
          <w:rFonts w:ascii="仿宋_GB2312" w:hAnsi="仿宋_GB2312"/>
          <w:color w:val="auto"/>
          <w:highlight w:val="none"/>
        </w:rPr>
        <w:t>．</w:t>
      </w:r>
      <w:r>
        <w:rPr>
          <w:rFonts w:hint="eastAsia" w:ascii="仿宋_GB2312" w:hAnsi="仿宋_GB2312"/>
          <w:color w:val="auto"/>
          <w:highlight w:val="none"/>
        </w:rPr>
        <w:t>投标</w:t>
      </w:r>
      <w:r>
        <w:rPr>
          <w:rFonts w:ascii="仿宋_GB2312" w:hAnsi="仿宋_GB2312"/>
          <w:color w:val="auto"/>
          <w:highlight w:val="none"/>
        </w:rPr>
        <w:t>报价评审。</w:t>
      </w:r>
    </w:p>
    <w:p>
      <w:pPr>
        <w:ind w:firstLine="640" w:firstLineChars="200"/>
        <w:rPr>
          <w:color w:val="auto"/>
          <w:highlight w:val="none"/>
        </w:rPr>
      </w:pPr>
      <w:r>
        <w:rPr>
          <w:color w:val="auto"/>
          <w:highlight w:val="none"/>
        </w:rPr>
        <w:t>4</w:t>
      </w:r>
      <w:r>
        <w:rPr>
          <w:rFonts w:ascii="仿宋_GB2312" w:hAnsi="仿宋_GB2312"/>
          <w:color w:val="auto"/>
          <w:highlight w:val="none"/>
        </w:rPr>
        <w:t>．汇总评分结果。</w:t>
      </w:r>
    </w:p>
    <w:p>
      <w:pPr>
        <w:ind w:firstLine="640" w:firstLineChars="200"/>
        <w:rPr>
          <w:color w:val="auto"/>
          <w:highlight w:val="none"/>
        </w:rPr>
      </w:pPr>
      <w:r>
        <w:rPr>
          <w:color w:val="auto"/>
          <w:highlight w:val="none"/>
        </w:rPr>
        <w:t>C= J</w:t>
      </w:r>
      <w:r>
        <w:rPr>
          <w:color w:val="auto"/>
          <w:highlight w:val="none"/>
          <w:vertAlign w:val="subscript"/>
        </w:rPr>
        <w:t>1</w:t>
      </w:r>
      <w:r>
        <w:rPr>
          <w:color w:val="auto"/>
          <w:highlight w:val="none"/>
        </w:rPr>
        <w:t>×G+J</w:t>
      </w:r>
      <w:r>
        <w:rPr>
          <w:color w:val="auto"/>
          <w:highlight w:val="none"/>
          <w:vertAlign w:val="subscript"/>
        </w:rPr>
        <w:t>2</w:t>
      </w:r>
      <w:r>
        <w:rPr>
          <w:color w:val="auto"/>
          <w:highlight w:val="none"/>
        </w:rPr>
        <w:t>×H</w:t>
      </w:r>
    </w:p>
    <w:p>
      <w:pPr>
        <w:ind w:firstLine="640" w:firstLineChars="200"/>
        <w:rPr>
          <w:color w:val="auto"/>
          <w:highlight w:val="none"/>
        </w:rPr>
      </w:pPr>
      <w:r>
        <w:rPr>
          <w:rFonts w:ascii="仿宋_GB2312" w:hAnsi="仿宋_GB2312"/>
          <w:color w:val="auto"/>
          <w:highlight w:val="none"/>
        </w:rPr>
        <w:t>其中：</w:t>
      </w:r>
      <w:r>
        <w:rPr>
          <w:color w:val="auto"/>
          <w:highlight w:val="none"/>
        </w:rPr>
        <w:t>C——</w:t>
      </w:r>
      <w:r>
        <w:rPr>
          <w:rFonts w:ascii="仿宋_GB2312" w:hAnsi="仿宋_GB2312"/>
          <w:color w:val="auto"/>
          <w:highlight w:val="none"/>
        </w:rPr>
        <w:t>评标总得分</w:t>
      </w:r>
    </w:p>
    <w:p>
      <w:pPr>
        <w:ind w:firstLine="640" w:firstLineChars="200"/>
        <w:rPr>
          <w:rFonts w:hAnsi="Calibri" w:cs="宋体"/>
          <w:color w:val="auto"/>
          <w:highlight w:val="none"/>
        </w:rPr>
      </w:pPr>
      <w:r>
        <w:rPr>
          <w:color w:val="auto"/>
          <w:highlight w:val="none"/>
        </w:rPr>
        <w:t>G——</w:t>
      </w:r>
      <w:r>
        <w:rPr>
          <w:rFonts w:hint="eastAsia" w:ascii="仿宋_GB2312"/>
          <w:color w:val="auto"/>
          <w:highlight w:val="none"/>
        </w:rPr>
        <w:t>业绩及信用</w:t>
      </w:r>
    </w:p>
    <w:p>
      <w:pPr>
        <w:ind w:firstLine="640" w:firstLineChars="200"/>
        <w:rPr>
          <w:rFonts w:hint="eastAsia"/>
          <w:color w:val="auto"/>
          <w:highlight w:val="none"/>
        </w:rPr>
      </w:pPr>
      <w:r>
        <w:rPr>
          <w:color w:val="auto"/>
          <w:highlight w:val="none"/>
        </w:rPr>
        <w:t>H——</w:t>
      </w:r>
      <w:r>
        <w:rPr>
          <w:rFonts w:hint="eastAsia"/>
          <w:color w:val="auto"/>
          <w:highlight w:val="none"/>
        </w:rPr>
        <w:t>投标</w:t>
      </w:r>
      <w:r>
        <w:rPr>
          <w:rFonts w:ascii="仿宋_GB2312" w:hAnsi="仿宋_GB2312"/>
          <w:color w:val="auto"/>
          <w:highlight w:val="none"/>
        </w:rPr>
        <w:t>报价评审得分</w:t>
      </w:r>
    </w:p>
    <w:p>
      <w:pPr>
        <w:ind w:firstLine="640" w:firstLineChars="200"/>
        <w:rPr>
          <w:color w:val="auto"/>
          <w:highlight w:val="none"/>
        </w:rPr>
      </w:pPr>
      <w:r>
        <w:rPr>
          <w:color w:val="auto"/>
          <w:highlight w:val="none"/>
        </w:rPr>
        <w:t>J</w:t>
      </w:r>
      <w:r>
        <w:rPr>
          <w:color w:val="auto"/>
          <w:highlight w:val="none"/>
          <w:vertAlign w:val="subscript"/>
        </w:rPr>
        <w:t>1</w:t>
      </w:r>
      <w:r>
        <w:rPr>
          <w:rFonts w:ascii="仿宋_GB2312" w:hAnsi="仿宋_GB2312"/>
          <w:color w:val="auto"/>
          <w:highlight w:val="none"/>
        </w:rPr>
        <w:t>、</w:t>
      </w:r>
      <w:r>
        <w:rPr>
          <w:color w:val="auto"/>
          <w:highlight w:val="none"/>
        </w:rPr>
        <w:t>J</w:t>
      </w:r>
      <w:r>
        <w:rPr>
          <w:color w:val="auto"/>
          <w:highlight w:val="none"/>
          <w:vertAlign w:val="subscript"/>
        </w:rPr>
        <w:t>2</w:t>
      </w:r>
      <w:r>
        <w:rPr>
          <w:color w:val="auto"/>
          <w:highlight w:val="none"/>
        </w:rPr>
        <w:t>——</w:t>
      </w:r>
      <w:r>
        <w:rPr>
          <w:rFonts w:ascii="仿宋_GB2312" w:hAnsi="仿宋_GB2312"/>
          <w:color w:val="auto"/>
          <w:highlight w:val="none"/>
        </w:rPr>
        <w:t>各项评审因素的权重</w:t>
      </w:r>
    </w:p>
    <w:p>
      <w:pPr>
        <w:ind w:firstLine="643" w:firstLineChars="200"/>
        <w:rPr>
          <w:rFonts w:ascii="楷体_GB2312" w:hAnsi="仿宋_GB2312" w:eastAsia="楷体_GB2312" w:cs="宋体"/>
          <w:b/>
          <w:bCs/>
          <w:color w:val="auto"/>
          <w:highlight w:val="none"/>
        </w:rPr>
      </w:pPr>
      <w:r>
        <w:rPr>
          <w:rFonts w:hint="eastAsia" w:ascii="楷体_GB2312" w:hAnsi="仿宋_GB2312" w:eastAsia="楷体_GB2312"/>
          <w:b/>
          <w:bCs/>
          <w:color w:val="auto"/>
          <w:highlight w:val="none"/>
        </w:rPr>
        <w:t>（三）投标报价评审步骤和方式</w:t>
      </w:r>
    </w:p>
    <w:p>
      <w:pPr>
        <w:ind w:firstLine="640" w:firstLineChars="200"/>
        <w:rPr>
          <w:rFonts w:hint="eastAsia"/>
          <w:color w:val="auto"/>
          <w:highlight w:val="none"/>
        </w:rPr>
      </w:pPr>
      <w:r>
        <w:rPr>
          <w:color w:val="auto"/>
          <w:highlight w:val="none"/>
        </w:rPr>
        <w:t>1</w:t>
      </w:r>
      <w:r>
        <w:rPr>
          <w:rFonts w:ascii="仿宋_GB2312" w:hAnsi="仿宋_GB2312"/>
          <w:color w:val="auto"/>
          <w:highlight w:val="none"/>
        </w:rPr>
        <w:t>．按照本办法第二十</w:t>
      </w:r>
      <w:r>
        <w:rPr>
          <w:rFonts w:hint="eastAsia" w:ascii="仿宋_GB2312"/>
          <w:color w:val="auto"/>
          <w:highlight w:val="none"/>
        </w:rPr>
        <w:t>四</w:t>
      </w:r>
      <w:r>
        <w:rPr>
          <w:rFonts w:ascii="仿宋_GB2312" w:hAnsi="仿宋_GB2312"/>
          <w:color w:val="auto"/>
          <w:highlight w:val="none"/>
        </w:rPr>
        <w:t>条至第二十</w:t>
      </w:r>
      <w:r>
        <w:rPr>
          <w:rFonts w:hint="eastAsia" w:ascii="仿宋_GB2312"/>
          <w:color w:val="auto"/>
          <w:highlight w:val="none"/>
        </w:rPr>
        <w:t>五</w:t>
      </w:r>
      <w:r>
        <w:rPr>
          <w:rFonts w:ascii="仿宋_GB2312" w:hAnsi="仿宋_GB2312"/>
          <w:color w:val="auto"/>
          <w:highlight w:val="none"/>
        </w:rPr>
        <w:t>条之规定进行评审，对低于成本报价竞争的投标人予以否决。</w:t>
      </w:r>
    </w:p>
    <w:p>
      <w:pPr>
        <w:ind w:firstLine="640" w:firstLineChars="200"/>
        <w:rPr>
          <w:color w:val="auto"/>
          <w:highlight w:val="none"/>
        </w:rPr>
      </w:pPr>
      <w:r>
        <w:rPr>
          <w:color w:val="auto"/>
          <w:highlight w:val="none"/>
        </w:rPr>
        <w:t>2</w:t>
      </w:r>
      <w:r>
        <w:rPr>
          <w:rFonts w:ascii="仿宋_GB2312" w:hAnsi="仿宋_GB2312"/>
          <w:color w:val="auto"/>
          <w:highlight w:val="none"/>
        </w:rPr>
        <w:t>．</w:t>
      </w:r>
      <w:r>
        <w:rPr>
          <w:rFonts w:hint="eastAsia"/>
          <w:color w:val="auto"/>
          <w:highlight w:val="none"/>
        </w:rPr>
        <w:t>按照</w:t>
      </w:r>
      <w:r>
        <w:rPr>
          <w:color w:val="auto"/>
          <w:highlight w:val="none"/>
        </w:rPr>
        <w:t>附件</w:t>
      </w:r>
      <w:r>
        <w:rPr>
          <w:rFonts w:hint="eastAsia"/>
          <w:color w:val="auto"/>
          <w:highlight w:val="none"/>
        </w:rPr>
        <w:t>5</w:t>
      </w:r>
      <w:r>
        <w:rPr>
          <w:color w:val="auto"/>
          <w:highlight w:val="none"/>
        </w:rPr>
        <w:t>-1</w:t>
      </w:r>
      <w:r>
        <w:rPr>
          <w:rFonts w:hint="eastAsia"/>
          <w:color w:val="auto"/>
          <w:highlight w:val="none"/>
        </w:rPr>
        <w:t>对</w:t>
      </w:r>
      <w:r>
        <w:rPr>
          <w:color w:val="auto"/>
          <w:highlight w:val="none"/>
        </w:rPr>
        <w:t>投标报价进行评审。</w:t>
      </w:r>
    </w:p>
    <w:p>
      <w:pPr>
        <w:ind w:firstLine="640" w:firstLineChars="200"/>
        <w:rPr>
          <w:color w:val="auto"/>
          <w:highlight w:val="none"/>
        </w:rPr>
      </w:pPr>
    </w:p>
    <w:p>
      <w:pPr>
        <w:ind w:firstLine="640" w:firstLineChars="200"/>
        <w:rPr>
          <w:color w:val="auto"/>
          <w:highlight w:val="none"/>
        </w:rPr>
      </w:pPr>
    </w:p>
    <w:p>
      <w:pPr>
        <w:ind w:firstLine="640" w:firstLineChars="200"/>
        <w:rPr>
          <w:color w:val="auto"/>
          <w:highlight w:val="none"/>
        </w:rPr>
      </w:pPr>
    </w:p>
    <w:p>
      <w:pPr>
        <w:ind w:firstLine="640" w:firstLineChars="200"/>
        <w:rPr>
          <w:rFonts w:hint="eastAsia"/>
          <w:color w:val="auto"/>
          <w:highlight w:val="none"/>
        </w:rPr>
      </w:pPr>
    </w:p>
    <w:p>
      <w:pPr>
        <w:numPr>
          <w:ilvl w:val="0"/>
          <w:numId w:val="1"/>
        </w:numPr>
        <w:ind w:firstLine="643" w:firstLineChars="200"/>
        <w:rPr>
          <w:rFonts w:ascii="楷体_GB2312" w:eastAsia="楷体_GB2312" w:cs="宋体"/>
          <w:b/>
          <w:bCs/>
          <w:color w:val="auto"/>
          <w:highlight w:val="none"/>
        </w:rPr>
      </w:pPr>
      <w:r>
        <w:rPr>
          <w:rFonts w:hint="eastAsia" w:ascii="楷体_GB2312" w:hAnsi="仿宋_GB2312" w:eastAsia="楷体_GB2312"/>
          <w:b/>
          <w:bCs/>
          <w:color w:val="auto"/>
          <w:highlight w:val="none"/>
        </w:rPr>
        <w:t>各项评审因素权重</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3780"/>
        <w:gridCol w:w="3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132" w:type="dxa"/>
            <w:tcBorders>
              <w:top w:val="single" w:color="auto" w:sz="12" w:space="0"/>
              <w:left w:val="nil"/>
              <w:bottom w:val="single" w:color="auto" w:sz="6" w:space="0"/>
              <w:right w:val="single" w:color="auto" w:sz="6" w:space="0"/>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序号</w:t>
            </w:r>
          </w:p>
        </w:tc>
        <w:tc>
          <w:tcPr>
            <w:tcW w:w="378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评审因素</w:t>
            </w:r>
          </w:p>
        </w:tc>
        <w:tc>
          <w:tcPr>
            <w:tcW w:w="3060" w:type="dxa"/>
            <w:tcBorders>
              <w:top w:val="single" w:color="auto" w:sz="12" w:space="0"/>
              <w:left w:val="single" w:color="auto" w:sz="6" w:space="0"/>
              <w:bottom w:val="single" w:color="auto" w:sz="6" w:space="0"/>
              <w:right w:val="nil"/>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132" w:type="dxa"/>
            <w:tcBorders>
              <w:top w:val="single" w:color="auto" w:sz="6" w:space="0"/>
              <w:left w:val="nil"/>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1</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jc w:val="center"/>
              <w:rPr>
                <w:rFonts w:ascii="仿宋_GB2312" w:hAnsi="Calibri" w:cs="宋体"/>
                <w:color w:val="auto"/>
                <w:szCs w:val="32"/>
                <w:highlight w:val="none"/>
              </w:rPr>
            </w:pPr>
            <w:r>
              <w:rPr>
                <w:rFonts w:hint="eastAsia" w:ascii="仿宋_GB2312"/>
                <w:color w:val="auto"/>
                <w:highlight w:val="none"/>
              </w:rPr>
              <w:t>业绩及信用</w:t>
            </w:r>
          </w:p>
        </w:tc>
        <w:tc>
          <w:tcPr>
            <w:tcW w:w="3060" w:type="dxa"/>
            <w:tcBorders>
              <w:top w:val="single" w:color="auto" w:sz="6" w:space="0"/>
              <w:left w:val="single" w:color="auto" w:sz="6" w:space="0"/>
              <w:bottom w:val="single" w:color="auto" w:sz="6" w:space="0"/>
              <w:right w:val="nil"/>
            </w:tcBorders>
            <w:noWrap w:val="0"/>
            <w:vAlign w:val="center"/>
          </w:tcPr>
          <w:p>
            <w:pPr>
              <w:jc w:val="center"/>
              <w:rPr>
                <w:rFonts w:ascii="仿宋_GB2312" w:hAnsi="Calibri" w:cs="宋体"/>
                <w:strike/>
                <w:color w:val="auto"/>
                <w:szCs w:val="32"/>
                <w:highlight w:val="none"/>
              </w:rPr>
            </w:pPr>
            <w:r>
              <w:rPr>
                <w:rFonts w:hint="eastAsia" w:ascii="仿宋_GB2312"/>
                <w:color w:val="auto"/>
                <w:highlight w:val="none"/>
              </w:rPr>
              <w:t>0.</w:t>
            </w:r>
            <w:r>
              <w:rPr>
                <w:rFonts w:ascii="仿宋_GB2312"/>
                <w:color w:val="auto"/>
                <w:highlight w:val="none"/>
              </w:rPr>
              <w:t>1</w:t>
            </w:r>
            <w:r>
              <w:rPr>
                <w:rFonts w:hint="eastAsia" w:ascii="仿宋_GB2312"/>
                <w:color w:val="auto"/>
                <w:highlight w:val="none"/>
              </w:rPr>
              <w:t>5—0.</w:t>
            </w:r>
            <w:r>
              <w:rPr>
                <w:rFonts w:ascii="仿宋_GB2312"/>
                <w:color w:val="auto"/>
                <w:highlight w:val="none"/>
              </w:rPr>
              <w:t>3</w:t>
            </w:r>
            <w:r>
              <w:rPr>
                <w:rFonts w:hint="eastAsia" w:ascii="仿宋_GB2312"/>
                <w:color w:val="auto"/>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132" w:type="dxa"/>
            <w:tcBorders>
              <w:top w:val="single" w:color="auto" w:sz="6" w:space="0"/>
              <w:left w:val="nil"/>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2</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Calibri" w:cs="宋体"/>
                <w:color w:val="auto"/>
                <w:spacing w:val="-14"/>
                <w:szCs w:val="32"/>
                <w:highlight w:val="none"/>
              </w:rPr>
            </w:pPr>
            <w:r>
              <w:rPr>
                <w:rFonts w:hint="eastAsia" w:ascii="仿宋_GB2312"/>
                <w:color w:val="auto"/>
                <w:highlight w:val="none"/>
              </w:rPr>
              <w:t>投标报价</w:t>
            </w:r>
          </w:p>
        </w:tc>
        <w:tc>
          <w:tcPr>
            <w:tcW w:w="3060" w:type="dxa"/>
            <w:tcBorders>
              <w:top w:val="single" w:color="auto" w:sz="6" w:space="0"/>
              <w:left w:val="single" w:color="auto" w:sz="6" w:space="0"/>
              <w:bottom w:val="single" w:color="auto" w:sz="6" w:space="0"/>
              <w:right w:val="nil"/>
            </w:tcBorders>
            <w:noWrap w:val="0"/>
            <w:vAlign w:val="center"/>
          </w:tcPr>
          <w:p>
            <w:pPr>
              <w:jc w:val="center"/>
              <w:rPr>
                <w:rFonts w:ascii="仿宋_GB2312" w:hAnsi="Calibri" w:cs="宋体"/>
                <w:strike/>
                <w:color w:val="auto"/>
                <w:szCs w:val="32"/>
                <w:highlight w:val="none"/>
              </w:rPr>
            </w:pPr>
            <w:r>
              <w:rPr>
                <w:rFonts w:hint="eastAsia" w:ascii="仿宋_GB2312"/>
                <w:color w:val="auto"/>
                <w:highlight w:val="none"/>
              </w:rPr>
              <w:t>0.</w:t>
            </w:r>
            <w:r>
              <w:rPr>
                <w:rFonts w:ascii="仿宋_GB2312"/>
                <w:color w:val="auto"/>
                <w:highlight w:val="none"/>
              </w:rPr>
              <w:t>7</w:t>
            </w:r>
            <w:r>
              <w:rPr>
                <w:rFonts w:hint="eastAsia" w:ascii="仿宋_GB2312"/>
                <w:color w:val="auto"/>
                <w:highlight w:val="none"/>
              </w:rPr>
              <w:t>0—0.</w:t>
            </w:r>
            <w:r>
              <w:rPr>
                <w:rFonts w:ascii="仿宋_GB2312"/>
                <w:color w:val="auto"/>
                <w:highlight w:val="none"/>
              </w:rPr>
              <w:t>8</w:t>
            </w:r>
            <w:r>
              <w:rPr>
                <w:rFonts w:hint="eastAsia" w:ascii="仿宋_GB2312"/>
                <w:color w:val="auto"/>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912" w:type="dxa"/>
            <w:gridSpan w:val="2"/>
            <w:tcBorders>
              <w:top w:val="single" w:color="auto" w:sz="6" w:space="0"/>
              <w:left w:val="nil"/>
              <w:bottom w:val="single" w:color="auto" w:sz="12"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合  计</w:t>
            </w:r>
          </w:p>
        </w:tc>
        <w:tc>
          <w:tcPr>
            <w:tcW w:w="3060" w:type="dxa"/>
            <w:tcBorders>
              <w:top w:val="single" w:color="auto" w:sz="6" w:space="0"/>
              <w:left w:val="single" w:color="auto" w:sz="6" w:space="0"/>
              <w:bottom w:val="single" w:color="auto" w:sz="12" w:space="0"/>
              <w:right w:val="nil"/>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1</w:t>
            </w:r>
          </w:p>
        </w:tc>
      </w:tr>
    </w:tbl>
    <w:p>
      <w:pPr>
        <w:ind w:firstLine="640" w:firstLineChars="200"/>
        <w:rPr>
          <w:rFonts w:hint="eastAsia" w:ascii="黑体" w:hAnsi="Calibri" w:eastAsia="黑体"/>
          <w:color w:val="auto"/>
          <w:szCs w:val="32"/>
          <w:highlight w:val="none"/>
        </w:rPr>
      </w:pPr>
      <w:r>
        <w:rPr>
          <w:rFonts w:hint="eastAsia" w:ascii="黑体" w:eastAsia="黑体"/>
          <w:color w:val="auto"/>
          <w:highlight w:val="none"/>
        </w:rPr>
        <w:t>三、中标候选人的确定</w:t>
      </w:r>
    </w:p>
    <w:p>
      <w:pPr>
        <w:ind w:firstLine="640" w:firstLineChars="200"/>
        <w:rPr>
          <w:rFonts w:ascii="仿宋_GB2312" w:hAnsi="仿宋_GB2312"/>
          <w:color w:val="auto"/>
          <w:highlight w:val="none"/>
        </w:rPr>
      </w:pPr>
      <w:r>
        <w:rPr>
          <w:rFonts w:ascii="仿宋_GB2312" w:hAnsi="仿宋_GB2312"/>
          <w:color w:val="auto"/>
          <w:highlight w:val="none"/>
        </w:rPr>
        <w:t>按照评标总得分从高至低确定投标人排序。根据招标文件的要求，推荐不超过</w:t>
      </w:r>
      <w:r>
        <w:rPr>
          <w:color w:val="auto"/>
          <w:highlight w:val="none"/>
        </w:rPr>
        <w:t>3</w:t>
      </w:r>
      <w:r>
        <w:rPr>
          <w:rFonts w:ascii="仿宋_GB2312" w:hAnsi="仿宋_GB2312"/>
          <w:color w:val="auto"/>
          <w:highlight w:val="none"/>
        </w:rPr>
        <w:t>个有排序的中标候选人，招标人按照中标候选人的排序确定中标人。</w:t>
      </w:r>
    </w:p>
    <w:p>
      <w:pPr>
        <w:ind w:firstLine="640" w:firstLineChars="200"/>
        <w:rPr>
          <w:rFonts w:hint="eastAsia"/>
          <w:color w:val="auto"/>
          <w:highlight w:val="none"/>
        </w:rPr>
      </w:pPr>
    </w:p>
    <w:p>
      <w:pPr>
        <w:ind w:firstLine="640" w:firstLineChars="200"/>
        <w:rPr>
          <w:color w:val="auto"/>
          <w:highlight w:val="none"/>
        </w:rPr>
      </w:pPr>
      <w:r>
        <w:rPr>
          <w:color w:val="auto"/>
          <w:highlight w:val="none"/>
        </w:rPr>
        <w:t xml:space="preserve"> </w:t>
      </w:r>
    </w:p>
    <w:p>
      <w:pPr>
        <w:ind w:firstLine="640" w:firstLineChars="200"/>
        <w:rPr>
          <w:color w:val="auto"/>
          <w:highlight w:val="none"/>
        </w:rPr>
      </w:pPr>
      <w:r>
        <w:rPr>
          <w:color w:val="auto"/>
          <w:highlight w:val="none"/>
        </w:rPr>
        <w:t xml:space="preserve"> </w:t>
      </w:r>
    </w:p>
    <w:p>
      <w:pPr>
        <w:ind w:firstLine="640" w:firstLineChars="200"/>
        <w:rPr>
          <w:color w:val="auto"/>
          <w:highlight w:val="none"/>
        </w:rPr>
      </w:pPr>
      <w:r>
        <w:rPr>
          <w:color w:val="auto"/>
          <w:highlight w:val="none"/>
        </w:rPr>
        <w:t xml:space="preserve"> </w:t>
      </w:r>
    </w:p>
    <w:p>
      <w:pPr>
        <w:widowControl/>
        <w:jc w:val="left"/>
        <w:rPr>
          <w:rFonts w:ascii="黑体" w:hAnsi="宋体" w:eastAsia="黑体"/>
          <w:color w:val="auto"/>
          <w:kern w:val="0"/>
          <w:highlight w:val="none"/>
        </w:rPr>
        <w:sectPr>
          <w:pgSz w:w="11906" w:h="16838"/>
          <w:pgMar w:top="2098" w:right="1588" w:bottom="2098" w:left="1588" w:header="720" w:footer="720" w:gutter="0"/>
          <w:cols w:space="720" w:num="1"/>
          <w:docGrid w:type="lines" w:linePitch="574" w:charSpace="0"/>
        </w:sectPr>
      </w:pPr>
    </w:p>
    <w:p>
      <w:pPr>
        <w:widowControl/>
        <w:shd w:val="clear" w:color="auto" w:fill="FFFFFF"/>
        <w:rPr>
          <w:rFonts w:ascii="黑体" w:hAnsi="Calibri" w:eastAsia="黑体" w:cs="宋体"/>
          <w:color w:val="auto"/>
          <w:kern w:val="0"/>
          <w:highlight w:val="none"/>
        </w:rPr>
      </w:pPr>
      <w:r>
        <w:rPr>
          <w:rFonts w:hint="eastAsia" w:ascii="黑体" w:eastAsia="黑体"/>
          <w:color w:val="auto"/>
          <w:kern w:val="0"/>
          <w:highlight w:val="none"/>
        </w:rPr>
        <w:t>附件2</w:t>
      </w:r>
    </w:p>
    <w:p>
      <w:pPr>
        <w:widowControl/>
        <w:shd w:val="clear" w:color="auto" w:fill="FFFFFF"/>
        <w:jc w:val="center"/>
        <w:rPr>
          <w:rFonts w:hint="eastAsia" w:ascii="方正小标宋简体" w:eastAsia="方正小标宋简体"/>
          <w:color w:val="auto"/>
          <w:kern w:val="0"/>
          <w:sz w:val="44"/>
          <w:szCs w:val="44"/>
          <w:highlight w:val="none"/>
        </w:rPr>
      </w:pPr>
      <w:r>
        <w:rPr>
          <w:rFonts w:hint="eastAsia" w:ascii="方正小标宋简体" w:hAnsi="仿宋_GB2312" w:eastAsia="方正小标宋简体"/>
          <w:color w:val="auto"/>
          <w:kern w:val="0"/>
          <w:sz w:val="44"/>
          <w:szCs w:val="44"/>
          <w:highlight w:val="none"/>
        </w:rPr>
        <w:t>综合评估法</w:t>
      </w:r>
    </w:p>
    <w:p>
      <w:pPr>
        <w:widowControl/>
        <w:shd w:val="clear" w:color="auto" w:fill="FFFFFF"/>
        <w:ind w:firstLine="640" w:firstLineChars="200"/>
        <w:rPr>
          <w:rFonts w:hint="eastAsia" w:ascii="黑体" w:hAnsi="Calibri" w:eastAsia="黑体"/>
          <w:color w:val="auto"/>
          <w:kern w:val="0"/>
          <w:szCs w:val="32"/>
          <w:highlight w:val="none"/>
        </w:rPr>
      </w:pPr>
      <w:r>
        <w:rPr>
          <w:rFonts w:hint="eastAsia" w:ascii="黑体" w:eastAsia="黑体"/>
          <w:color w:val="auto"/>
          <w:kern w:val="0"/>
          <w:highlight w:val="none"/>
        </w:rPr>
        <w:t>一、适用范围</w:t>
      </w:r>
    </w:p>
    <w:p>
      <w:pPr>
        <w:widowControl/>
        <w:shd w:val="clear" w:color="auto" w:fill="FFFFFF"/>
        <w:ind w:firstLine="640" w:firstLineChars="200"/>
        <w:rPr>
          <w:rFonts w:hint="eastAsia"/>
          <w:color w:val="auto"/>
          <w:kern w:val="0"/>
          <w:highlight w:val="none"/>
        </w:rPr>
      </w:pPr>
      <w:r>
        <w:rPr>
          <w:rFonts w:ascii="仿宋_GB2312" w:hAnsi="仿宋_GB2312"/>
          <w:color w:val="auto"/>
          <w:kern w:val="0"/>
          <w:highlight w:val="none"/>
        </w:rPr>
        <w:t>（一）符合下列情形之一的，可以采用综合评估法：</w:t>
      </w:r>
    </w:p>
    <w:p>
      <w:pPr>
        <w:widowControl/>
        <w:shd w:val="clear" w:color="auto" w:fill="FFFFFF"/>
        <w:ind w:firstLine="640" w:firstLineChars="200"/>
        <w:rPr>
          <w:color w:val="auto"/>
          <w:kern w:val="0"/>
          <w:highlight w:val="none"/>
        </w:rPr>
      </w:pPr>
      <w:r>
        <w:rPr>
          <w:color w:val="auto"/>
          <w:kern w:val="0"/>
          <w:highlight w:val="none"/>
        </w:rPr>
        <w:t xml:space="preserve">1. </w:t>
      </w:r>
      <w:r>
        <w:rPr>
          <w:rFonts w:ascii="仿宋_GB2312" w:hAnsi="仿宋_GB2312"/>
          <w:color w:val="auto"/>
          <w:kern w:val="0"/>
          <w:highlight w:val="none"/>
        </w:rPr>
        <w:t>施工总承包</w:t>
      </w:r>
      <w:r>
        <w:rPr>
          <w:rFonts w:hint="eastAsia" w:ascii="仿宋_GB2312"/>
          <w:color w:val="auto"/>
          <w:kern w:val="0"/>
          <w:highlight w:val="none"/>
        </w:rPr>
        <w:t>工程</w:t>
      </w:r>
      <w:r>
        <w:rPr>
          <w:rFonts w:ascii="仿宋_GB2312" w:hAnsi="仿宋_GB2312"/>
          <w:color w:val="auto"/>
          <w:kern w:val="0"/>
          <w:highlight w:val="none"/>
        </w:rPr>
        <w:t>单项最高投标限价</w:t>
      </w:r>
      <w:r>
        <w:rPr>
          <w:rFonts w:hint="eastAsia" w:ascii="仿宋_GB2312"/>
          <w:color w:val="auto"/>
          <w:kern w:val="0"/>
          <w:highlight w:val="none"/>
        </w:rPr>
        <w:t>超过</w:t>
      </w:r>
      <w:r>
        <w:rPr>
          <w:color w:val="auto"/>
          <w:kern w:val="0"/>
          <w:highlight w:val="none"/>
        </w:rPr>
        <w:t>2000</w:t>
      </w:r>
      <w:r>
        <w:rPr>
          <w:rFonts w:ascii="仿宋_GB2312" w:hAnsi="仿宋_GB2312"/>
          <w:color w:val="auto"/>
          <w:kern w:val="0"/>
          <w:highlight w:val="none"/>
        </w:rPr>
        <w:t>万元至</w:t>
      </w:r>
      <w:r>
        <w:rPr>
          <w:color w:val="auto"/>
          <w:kern w:val="0"/>
          <w:highlight w:val="none"/>
        </w:rPr>
        <w:t>5000</w:t>
      </w:r>
      <w:r>
        <w:rPr>
          <w:rFonts w:ascii="仿宋_GB2312" w:hAnsi="仿宋_GB2312"/>
          <w:color w:val="auto"/>
          <w:kern w:val="0"/>
          <w:highlight w:val="none"/>
        </w:rPr>
        <w:t>万元以下的；</w:t>
      </w:r>
    </w:p>
    <w:p>
      <w:pPr>
        <w:widowControl/>
        <w:shd w:val="clear" w:color="auto" w:fill="FFFFFF"/>
        <w:ind w:firstLine="640" w:firstLineChars="200"/>
        <w:rPr>
          <w:color w:val="auto"/>
          <w:kern w:val="0"/>
          <w:highlight w:val="none"/>
        </w:rPr>
      </w:pPr>
      <w:r>
        <w:rPr>
          <w:color w:val="auto"/>
          <w:kern w:val="0"/>
          <w:highlight w:val="none"/>
        </w:rPr>
        <w:t xml:space="preserve">2. </w:t>
      </w:r>
      <w:r>
        <w:rPr>
          <w:rFonts w:ascii="仿宋_GB2312" w:hAnsi="仿宋_GB2312"/>
          <w:color w:val="auto"/>
          <w:kern w:val="0"/>
          <w:highlight w:val="none"/>
        </w:rPr>
        <w:t>专业承包</w:t>
      </w:r>
      <w:r>
        <w:rPr>
          <w:rFonts w:hint="eastAsia" w:ascii="仿宋_GB2312"/>
          <w:color w:val="auto"/>
          <w:kern w:val="0"/>
          <w:highlight w:val="none"/>
        </w:rPr>
        <w:t>工程</w:t>
      </w:r>
      <w:r>
        <w:rPr>
          <w:rFonts w:ascii="仿宋_GB2312" w:hAnsi="仿宋_GB2312"/>
          <w:color w:val="auto"/>
          <w:kern w:val="0"/>
          <w:highlight w:val="none"/>
        </w:rPr>
        <w:t>单项最高投标限价</w:t>
      </w:r>
      <w:r>
        <w:rPr>
          <w:rFonts w:hint="eastAsia" w:ascii="仿宋_GB2312"/>
          <w:color w:val="auto"/>
          <w:kern w:val="0"/>
          <w:highlight w:val="none"/>
        </w:rPr>
        <w:t>超过</w:t>
      </w:r>
      <w:r>
        <w:rPr>
          <w:color w:val="auto"/>
          <w:kern w:val="0"/>
          <w:highlight w:val="none"/>
        </w:rPr>
        <w:t>800</w:t>
      </w:r>
      <w:r>
        <w:rPr>
          <w:rFonts w:ascii="仿宋_GB2312" w:hAnsi="仿宋_GB2312"/>
          <w:color w:val="auto"/>
          <w:kern w:val="0"/>
          <w:highlight w:val="none"/>
        </w:rPr>
        <w:t>万元至</w:t>
      </w:r>
      <w:r>
        <w:rPr>
          <w:color w:val="auto"/>
          <w:kern w:val="0"/>
          <w:highlight w:val="none"/>
        </w:rPr>
        <w:t>1500</w:t>
      </w:r>
      <w:r>
        <w:rPr>
          <w:rFonts w:ascii="仿宋_GB2312" w:hAnsi="仿宋_GB2312"/>
          <w:color w:val="auto"/>
          <w:kern w:val="0"/>
          <w:highlight w:val="none"/>
        </w:rPr>
        <w:t>万元以下的。</w:t>
      </w:r>
    </w:p>
    <w:p>
      <w:pPr>
        <w:widowControl/>
        <w:shd w:val="clear" w:color="auto" w:fill="FFFFFF"/>
        <w:ind w:firstLine="640" w:firstLineChars="200"/>
        <w:rPr>
          <w:color w:val="auto"/>
          <w:kern w:val="0"/>
          <w:highlight w:val="none"/>
        </w:rPr>
      </w:pPr>
      <w:r>
        <w:rPr>
          <w:rFonts w:ascii="仿宋_GB2312" w:hAnsi="仿宋_GB2312"/>
          <w:color w:val="auto"/>
          <w:kern w:val="0"/>
          <w:highlight w:val="none"/>
        </w:rPr>
        <w:t>（二）符合下列情形之一的，应当采用综合评估法：</w:t>
      </w:r>
    </w:p>
    <w:p>
      <w:pPr>
        <w:widowControl/>
        <w:shd w:val="clear" w:color="auto" w:fill="FFFFFF"/>
        <w:ind w:firstLine="640" w:firstLineChars="200"/>
        <w:rPr>
          <w:color w:val="auto"/>
          <w:kern w:val="0"/>
          <w:highlight w:val="none"/>
        </w:rPr>
      </w:pPr>
      <w:r>
        <w:rPr>
          <w:color w:val="auto"/>
          <w:kern w:val="0"/>
          <w:highlight w:val="none"/>
        </w:rPr>
        <w:t>1</w:t>
      </w:r>
      <w:r>
        <w:rPr>
          <w:rFonts w:ascii="仿宋_GB2312" w:hAnsi="仿宋_GB2312"/>
          <w:color w:val="auto"/>
          <w:kern w:val="0"/>
          <w:highlight w:val="none"/>
        </w:rPr>
        <w:t>．施工总承包</w:t>
      </w:r>
      <w:r>
        <w:rPr>
          <w:rFonts w:hint="eastAsia" w:ascii="仿宋_GB2312"/>
          <w:color w:val="auto"/>
          <w:kern w:val="0"/>
          <w:highlight w:val="none"/>
        </w:rPr>
        <w:t>工程</w:t>
      </w:r>
      <w:r>
        <w:rPr>
          <w:rFonts w:ascii="仿宋_GB2312" w:hAnsi="仿宋_GB2312"/>
          <w:color w:val="auto"/>
          <w:kern w:val="0"/>
          <w:highlight w:val="none"/>
        </w:rPr>
        <w:t>单项最高投标限价</w:t>
      </w:r>
      <w:r>
        <w:rPr>
          <w:rFonts w:hint="eastAsia" w:ascii="仿宋_GB2312"/>
          <w:color w:val="auto"/>
          <w:kern w:val="0"/>
          <w:highlight w:val="none"/>
        </w:rPr>
        <w:t>超过</w:t>
      </w:r>
      <w:r>
        <w:rPr>
          <w:color w:val="auto"/>
          <w:kern w:val="0"/>
          <w:highlight w:val="none"/>
        </w:rPr>
        <w:t>5000</w:t>
      </w:r>
      <w:r>
        <w:rPr>
          <w:rFonts w:ascii="仿宋_GB2312" w:hAnsi="仿宋_GB2312"/>
          <w:color w:val="auto"/>
          <w:kern w:val="0"/>
          <w:highlight w:val="none"/>
        </w:rPr>
        <w:t>万元的；</w:t>
      </w:r>
    </w:p>
    <w:p>
      <w:pPr>
        <w:widowControl/>
        <w:shd w:val="clear" w:color="auto" w:fill="FFFFFF"/>
        <w:ind w:firstLine="640" w:firstLineChars="200"/>
        <w:rPr>
          <w:color w:val="auto"/>
          <w:kern w:val="0"/>
          <w:highlight w:val="none"/>
        </w:rPr>
      </w:pPr>
      <w:r>
        <w:rPr>
          <w:color w:val="auto"/>
          <w:kern w:val="0"/>
          <w:highlight w:val="none"/>
        </w:rPr>
        <w:t>2</w:t>
      </w:r>
      <w:r>
        <w:rPr>
          <w:rFonts w:ascii="仿宋_GB2312" w:hAnsi="仿宋_GB2312"/>
          <w:color w:val="auto"/>
          <w:kern w:val="0"/>
          <w:highlight w:val="none"/>
        </w:rPr>
        <w:t>．专业承包</w:t>
      </w:r>
      <w:r>
        <w:rPr>
          <w:rFonts w:hint="eastAsia" w:ascii="仿宋_GB2312"/>
          <w:color w:val="auto"/>
          <w:kern w:val="0"/>
          <w:highlight w:val="none"/>
        </w:rPr>
        <w:t>工程</w:t>
      </w:r>
      <w:r>
        <w:rPr>
          <w:rFonts w:ascii="仿宋_GB2312" w:hAnsi="仿宋_GB2312"/>
          <w:color w:val="auto"/>
          <w:kern w:val="0"/>
          <w:highlight w:val="none"/>
        </w:rPr>
        <w:t>单项最高投标限价</w:t>
      </w:r>
      <w:r>
        <w:rPr>
          <w:rFonts w:hint="eastAsia" w:ascii="仿宋_GB2312"/>
          <w:color w:val="auto"/>
          <w:kern w:val="0"/>
          <w:highlight w:val="none"/>
        </w:rPr>
        <w:t>超过</w:t>
      </w:r>
      <w:r>
        <w:rPr>
          <w:color w:val="auto"/>
          <w:kern w:val="0"/>
          <w:highlight w:val="none"/>
        </w:rPr>
        <w:t>1500</w:t>
      </w:r>
      <w:r>
        <w:rPr>
          <w:rFonts w:ascii="仿宋_GB2312" w:hAnsi="仿宋_GB2312"/>
          <w:color w:val="auto"/>
          <w:kern w:val="0"/>
          <w:highlight w:val="none"/>
        </w:rPr>
        <w:t>万元的。</w:t>
      </w:r>
    </w:p>
    <w:p>
      <w:pPr>
        <w:widowControl/>
        <w:shd w:val="clear" w:color="auto" w:fill="FFFFFF"/>
        <w:ind w:firstLine="640" w:firstLineChars="200"/>
        <w:rPr>
          <w:color w:val="auto"/>
          <w:kern w:val="0"/>
          <w:highlight w:val="none"/>
        </w:rPr>
      </w:pPr>
      <w:r>
        <w:rPr>
          <w:rFonts w:ascii="仿宋_GB2312" w:hAnsi="仿宋_GB2312"/>
          <w:color w:val="auto"/>
          <w:kern w:val="0"/>
          <w:highlight w:val="none"/>
        </w:rPr>
        <w:t>（三）经批准的其他项目。</w:t>
      </w:r>
    </w:p>
    <w:p>
      <w:pPr>
        <w:widowControl/>
        <w:shd w:val="clear" w:color="auto" w:fill="FFFFFF"/>
        <w:ind w:firstLine="640" w:firstLineChars="200"/>
        <w:rPr>
          <w:rFonts w:ascii="黑体" w:eastAsia="黑体"/>
          <w:color w:val="auto"/>
          <w:kern w:val="0"/>
          <w:highlight w:val="none"/>
        </w:rPr>
      </w:pPr>
      <w:r>
        <w:rPr>
          <w:rFonts w:hint="eastAsia" w:ascii="黑体" w:eastAsia="黑体"/>
          <w:color w:val="auto"/>
          <w:kern w:val="0"/>
          <w:highlight w:val="none"/>
        </w:rPr>
        <w:t>二、评审程序与方法</w:t>
      </w:r>
    </w:p>
    <w:p>
      <w:pPr>
        <w:widowControl/>
        <w:shd w:val="clear" w:color="auto" w:fill="FFFFFF"/>
        <w:ind w:firstLine="640" w:firstLineChars="200"/>
        <w:rPr>
          <w:rFonts w:hint="eastAsia" w:ascii="黑体" w:hAnsi="Calibri" w:eastAsia="黑体" w:cs="宋体"/>
          <w:color w:val="auto"/>
          <w:kern w:val="0"/>
          <w:highlight w:val="none"/>
        </w:rPr>
      </w:pPr>
      <w:r>
        <w:rPr>
          <w:rFonts w:hint="eastAsia" w:ascii="黑体" w:eastAsia="黑体"/>
          <w:color w:val="auto"/>
          <w:kern w:val="0"/>
          <w:highlight w:val="none"/>
        </w:rPr>
        <w:t>（一</w:t>
      </w:r>
      <w:r>
        <w:rPr>
          <w:rFonts w:ascii="黑体" w:eastAsia="黑体"/>
          <w:color w:val="auto"/>
          <w:kern w:val="0"/>
          <w:highlight w:val="none"/>
        </w:rPr>
        <w:t>）</w:t>
      </w:r>
      <w:r>
        <w:rPr>
          <w:rFonts w:hint="eastAsia" w:ascii="黑体" w:eastAsia="黑体"/>
          <w:color w:val="auto"/>
          <w:kern w:val="0"/>
          <w:highlight w:val="none"/>
        </w:rPr>
        <w:t>施工组织设计</w:t>
      </w:r>
      <w:r>
        <w:rPr>
          <w:rFonts w:ascii="黑体" w:eastAsia="黑体"/>
          <w:color w:val="auto"/>
          <w:kern w:val="0"/>
          <w:highlight w:val="none"/>
        </w:rPr>
        <w:t>评审</w:t>
      </w:r>
    </w:p>
    <w:p>
      <w:pPr>
        <w:widowControl/>
        <w:shd w:val="clear" w:color="auto" w:fill="FFFFFF"/>
        <w:ind w:firstLine="643" w:firstLineChars="200"/>
        <w:rPr>
          <w:rFonts w:hint="eastAsia" w:ascii="楷体_GB2312" w:eastAsia="楷体_GB2312"/>
          <w:b/>
          <w:bCs/>
          <w:color w:val="auto"/>
          <w:kern w:val="0"/>
          <w:highlight w:val="none"/>
        </w:rPr>
      </w:pPr>
      <w:r>
        <w:rPr>
          <w:rFonts w:hint="eastAsia" w:ascii="楷体_GB2312" w:hAnsi="仿宋_GB2312" w:eastAsia="楷体_GB2312"/>
          <w:b/>
          <w:bCs/>
          <w:color w:val="auto"/>
          <w:kern w:val="0"/>
          <w:highlight w:val="none"/>
        </w:rPr>
        <w:t>（一）初步评审</w:t>
      </w:r>
    </w:p>
    <w:p>
      <w:pPr>
        <w:widowControl/>
        <w:shd w:val="clear" w:color="auto" w:fill="FFFFFF"/>
        <w:ind w:firstLine="640" w:firstLineChars="200"/>
        <w:rPr>
          <w:rFonts w:hint="eastAsia"/>
          <w:color w:val="auto"/>
          <w:kern w:val="0"/>
          <w:highlight w:val="none"/>
        </w:rPr>
      </w:pPr>
      <w:r>
        <w:rPr>
          <w:rFonts w:ascii="仿宋_GB2312" w:hAnsi="仿宋_GB2312"/>
          <w:color w:val="auto"/>
          <w:kern w:val="0"/>
          <w:highlight w:val="none"/>
        </w:rPr>
        <w:t>按照本办法</w:t>
      </w:r>
      <w:r>
        <w:rPr>
          <w:rFonts w:ascii="仿宋_GB2312" w:hAnsi="仿宋_GB2312"/>
          <w:color w:val="auto"/>
          <w:highlight w:val="none"/>
        </w:rPr>
        <w:t>第十三条至第十六条</w:t>
      </w:r>
      <w:r>
        <w:rPr>
          <w:rFonts w:ascii="仿宋_GB2312" w:hAnsi="仿宋_GB2312"/>
          <w:color w:val="auto"/>
          <w:kern w:val="0"/>
          <w:highlight w:val="none"/>
        </w:rPr>
        <w:t>，以及招标文件规定，对投标文件的形式、投标人资格和实质性响应招标文件情况进行评审，对不符合相关规定和要求的投标文件予以否决。</w:t>
      </w:r>
    </w:p>
    <w:p>
      <w:pPr>
        <w:widowControl/>
        <w:shd w:val="clear" w:color="auto" w:fill="FFFFFF"/>
        <w:ind w:firstLine="640" w:firstLineChars="200"/>
        <w:rPr>
          <w:color w:val="auto"/>
          <w:kern w:val="0"/>
          <w:highlight w:val="none"/>
        </w:rPr>
      </w:pPr>
      <w:r>
        <w:rPr>
          <w:rFonts w:ascii="仿宋_GB2312" w:hAnsi="仿宋_GB2312"/>
          <w:color w:val="auto"/>
          <w:kern w:val="0"/>
          <w:highlight w:val="none"/>
        </w:rPr>
        <w:t>采取资格预审的，按照本办法第五条至第八条以及相关评审表格和招标文件之规定进行评审。</w:t>
      </w:r>
    </w:p>
    <w:p>
      <w:pPr>
        <w:widowControl/>
        <w:shd w:val="clear" w:color="auto" w:fill="FFFFFF"/>
        <w:ind w:firstLine="643" w:firstLineChars="200"/>
        <w:rPr>
          <w:rFonts w:ascii="楷体_GB2312" w:hAnsi="仿宋_GB2312" w:eastAsia="楷体_GB2312" w:cs="宋体"/>
          <w:b/>
          <w:bCs/>
          <w:color w:val="auto"/>
          <w:kern w:val="0"/>
          <w:highlight w:val="none"/>
        </w:rPr>
      </w:pPr>
      <w:r>
        <w:rPr>
          <w:rFonts w:hint="eastAsia" w:ascii="楷体_GB2312" w:hAnsi="仿宋_GB2312" w:eastAsia="楷体_GB2312"/>
          <w:b/>
          <w:bCs/>
          <w:color w:val="auto"/>
          <w:kern w:val="0"/>
          <w:highlight w:val="none"/>
        </w:rPr>
        <w:t>（二）详细评审</w:t>
      </w:r>
    </w:p>
    <w:p>
      <w:pPr>
        <w:ind w:firstLine="640" w:firstLineChars="200"/>
        <w:rPr>
          <w:rFonts w:hint="eastAsia"/>
          <w:strike/>
          <w:color w:val="auto"/>
          <w:highlight w:val="none"/>
        </w:rPr>
      </w:pPr>
      <w:r>
        <w:rPr>
          <w:rFonts w:ascii="仿宋_GB2312" w:hAnsi="仿宋_GB2312"/>
          <w:color w:val="auto"/>
          <w:highlight w:val="none"/>
        </w:rPr>
        <w:t>按照本办法第十七条确定进入详细评审的投标人。</w:t>
      </w:r>
    </w:p>
    <w:p>
      <w:pPr>
        <w:widowControl/>
        <w:shd w:val="clear" w:color="auto" w:fill="FFFFFF"/>
        <w:ind w:firstLine="640" w:firstLineChars="200"/>
        <w:rPr>
          <w:color w:val="auto"/>
          <w:kern w:val="0"/>
          <w:highlight w:val="none"/>
        </w:rPr>
      </w:pPr>
      <w:r>
        <w:rPr>
          <w:color w:val="auto"/>
          <w:kern w:val="0"/>
          <w:highlight w:val="none"/>
        </w:rPr>
        <w:t>1</w:t>
      </w:r>
      <w:r>
        <w:rPr>
          <w:rFonts w:ascii="仿宋_GB2312" w:hAnsi="仿宋_GB2312"/>
          <w:color w:val="auto"/>
          <w:kern w:val="0"/>
          <w:highlight w:val="none"/>
        </w:rPr>
        <w:t>．施工组织设计评审。</w:t>
      </w:r>
    </w:p>
    <w:p>
      <w:pPr>
        <w:widowControl/>
        <w:shd w:val="clear" w:color="auto" w:fill="FFFFFF"/>
        <w:ind w:firstLine="640" w:firstLineChars="200"/>
        <w:rPr>
          <w:color w:val="auto"/>
          <w:highlight w:val="none"/>
        </w:rPr>
      </w:pPr>
      <w:r>
        <w:rPr>
          <w:color w:val="auto"/>
          <w:kern w:val="0"/>
          <w:highlight w:val="none"/>
        </w:rPr>
        <w:t>1.1</w:t>
      </w:r>
      <w:r>
        <w:rPr>
          <w:rFonts w:ascii="仿宋_GB2312" w:hAnsi="仿宋_GB2312"/>
          <w:color w:val="auto"/>
          <w:kern w:val="0"/>
          <w:highlight w:val="none"/>
        </w:rPr>
        <w:t>施工总承包单项最高投标限价在</w:t>
      </w:r>
      <w:r>
        <w:rPr>
          <w:color w:val="auto"/>
          <w:kern w:val="0"/>
          <w:highlight w:val="none"/>
        </w:rPr>
        <w:t>20000</w:t>
      </w:r>
      <w:r>
        <w:rPr>
          <w:rFonts w:ascii="仿宋_GB2312" w:hAnsi="仿宋_GB2312"/>
          <w:color w:val="auto"/>
          <w:kern w:val="0"/>
          <w:highlight w:val="none"/>
        </w:rPr>
        <w:t>万元以下的、专业承包单项最高投标限价在</w:t>
      </w:r>
      <w:r>
        <w:rPr>
          <w:color w:val="auto"/>
          <w:kern w:val="0"/>
          <w:highlight w:val="none"/>
        </w:rPr>
        <w:t>3000</w:t>
      </w:r>
      <w:r>
        <w:rPr>
          <w:rFonts w:ascii="仿宋_GB2312" w:hAnsi="仿宋_GB2312"/>
          <w:color w:val="auto"/>
          <w:kern w:val="0"/>
          <w:highlight w:val="none"/>
        </w:rPr>
        <w:t>万元以下的</w:t>
      </w:r>
      <w:r>
        <w:rPr>
          <w:rFonts w:hint="eastAsia" w:ascii="仿宋_GB2312" w:hAnsi="仿宋_GB2312"/>
          <w:color w:val="auto"/>
          <w:kern w:val="0"/>
          <w:highlight w:val="none"/>
        </w:rPr>
        <w:t>政府投资</w:t>
      </w:r>
      <w:r>
        <w:rPr>
          <w:rFonts w:ascii="仿宋_GB2312" w:hAnsi="仿宋_GB2312"/>
          <w:color w:val="auto"/>
          <w:kern w:val="0"/>
          <w:highlight w:val="none"/>
        </w:rPr>
        <w:t>工程，</w:t>
      </w:r>
      <w:r>
        <w:rPr>
          <w:rFonts w:ascii="仿宋_GB2312" w:hAnsi="仿宋_GB2312"/>
          <w:color w:val="auto"/>
          <w:highlight w:val="none"/>
        </w:rPr>
        <w:t>施工组织设计原则上采用合格性评审；</w:t>
      </w:r>
    </w:p>
    <w:p>
      <w:pPr>
        <w:widowControl/>
        <w:shd w:val="clear" w:color="auto" w:fill="FFFFFF"/>
        <w:ind w:firstLine="640" w:firstLineChars="200"/>
        <w:rPr>
          <w:color w:val="auto"/>
          <w:highlight w:val="none"/>
        </w:rPr>
      </w:pPr>
      <w:r>
        <w:rPr>
          <w:color w:val="auto"/>
          <w:highlight w:val="none"/>
        </w:rPr>
        <w:t>1.2</w:t>
      </w:r>
      <w:r>
        <w:rPr>
          <w:rFonts w:ascii="仿宋_GB2312" w:hAnsi="仿宋_GB2312"/>
          <w:color w:val="auto"/>
          <w:kern w:val="0"/>
          <w:highlight w:val="none"/>
        </w:rPr>
        <w:t>施工总承包单项最高投标限价</w:t>
      </w:r>
      <w:r>
        <w:rPr>
          <w:rFonts w:hint="eastAsia" w:ascii="仿宋_GB2312"/>
          <w:color w:val="auto"/>
          <w:kern w:val="0"/>
          <w:highlight w:val="none"/>
        </w:rPr>
        <w:t>超过</w:t>
      </w:r>
      <w:r>
        <w:rPr>
          <w:color w:val="auto"/>
          <w:kern w:val="0"/>
          <w:highlight w:val="none"/>
        </w:rPr>
        <w:t>20000</w:t>
      </w:r>
      <w:r>
        <w:rPr>
          <w:rFonts w:ascii="仿宋_GB2312" w:hAnsi="仿宋_GB2312"/>
          <w:color w:val="auto"/>
          <w:kern w:val="0"/>
          <w:highlight w:val="none"/>
        </w:rPr>
        <w:t>万</w:t>
      </w:r>
      <w:r>
        <w:rPr>
          <w:rFonts w:hint="eastAsia" w:ascii="仿宋_GB2312"/>
          <w:color w:val="auto"/>
          <w:kern w:val="0"/>
          <w:highlight w:val="none"/>
        </w:rPr>
        <w:t>元</w:t>
      </w:r>
      <w:r>
        <w:rPr>
          <w:rFonts w:ascii="仿宋_GB2312" w:hAnsi="仿宋_GB2312"/>
          <w:color w:val="auto"/>
          <w:kern w:val="0"/>
          <w:highlight w:val="none"/>
        </w:rPr>
        <w:t>的、专业承包单项最高投标限价</w:t>
      </w:r>
      <w:r>
        <w:rPr>
          <w:rFonts w:hint="eastAsia" w:ascii="仿宋_GB2312"/>
          <w:color w:val="auto"/>
          <w:kern w:val="0"/>
          <w:highlight w:val="none"/>
        </w:rPr>
        <w:t>超过</w:t>
      </w:r>
      <w:r>
        <w:rPr>
          <w:color w:val="auto"/>
          <w:kern w:val="0"/>
          <w:highlight w:val="none"/>
        </w:rPr>
        <w:t>3000</w:t>
      </w:r>
      <w:r>
        <w:rPr>
          <w:rFonts w:ascii="仿宋_GB2312" w:hAnsi="仿宋_GB2312"/>
          <w:color w:val="auto"/>
          <w:kern w:val="0"/>
          <w:highlight w:val="none"/>
        </w:rPr>
        <w:t>万</w:t>
      </w:r>
      <w:r>
        <w:rPr>
          <w:rFonts w:hint="eastAsia" w:ascii="仿宋_GB2312"/>
          <w:color w:val="auto"/>
          <w:kern w:val="0"/>
          <w:highlight w:val="none"/>
        </w:rPr>
        <w:t>元</w:t>
      </w:r>
      <w:r>
        <w:rPr>
          <w:rFonts w:ascii="仿宋_GB2312" w:hAnsi="仿宋_GB2312"/>
          <w:color w:val="auto"/>
          <w:kern w:val="0"/>
          <w:highlight w:val="none"/>
        </w:rPr>
        <w:t>的</w:t>
      </w:r>
      <w:r>
        <w:rPr>
          <w:rFonts w:hint="eastAsia" w:ascii="仿宋_GB2312" w:hAnsi="仿宋_GB2312"/>
          <w:color w:val="auto"/>
          <w:kern w:val="0"/>
          <w:highlight w:val="none"/>
        </w:rPr>
        <w:t>政府投资</w:t>
      </w:r>
      <w:r>
        <w:rPr>
          <w:rFonts w:ascii="仿宋_GB2312" w:hAnsi="仿宋_GB2312"/>
          <w:color w:val="auto"/>
          <w:kern w:val="0"/>
          <w:highlight w:val="none"/>
        </w:rPr>
        <w:t>工程，</w:t>
      </w:r>
      <w:r>
        <w:rPr>
          <w:rFonts w:ascii="仿宋_GB2312" w:hAnsi="仿宋_GB2312"/>
          <w:color w:val="auto"/>
          <w:highlight w:val="none"/>
        </w:rPr>
        <w:t>施工组织设计可以采用合格性评审，也可以采用评审计分的方式；</w:t>
      </w:r>
    </w:p>
    <w:p>
      <w:pPr>
        <w:widowControl/>
        <w:shd w:val="clear" w:color="auto" w:fill="FFFFFF"/>
        <w:ind w:firstLine="640" w:firstLineChars="200"/>
        <w:rPr>
          <w:color w:val="auto"/>
          <w:highlight w:val="none"/>
        </w:rPr>
      </w:pPr>
      <w:r>
        <w:rPr>
          <w:color w:val="auto"/>
          <w:highlight w:val="none"/>
        </w:rPr>
        <w:t>1.3</w:t>
      </w:r>
      <w:r>
        <w:rPr>
          <w:rFonts w:hint="eastAsia" w:ascii="仿宋_GB2312" w:hAnsi="仿宋_GB2312"/>
          <w:color w:val="auto"/>
          <w:kern w:val="0"/>
          <w:highlight w:val="none"/>
        </w:rPr>
        <w:t>其他项目由</w:t>
      </w:r>
      <w:r>
        <w:rPr>
          <w:rFonts w:ascii="仿宋_GB2312" w:hAnsi="仿宋_GB2312"/>
          <w:color w:val="auto"/>
          <w:kern w:val="0"/>
          <w:highlight w:val="none"/>
        </w:rPr>
        <w:t>招标人自主选择施工组织设计评审</w:t>
      </w:r>
      <w:r>
        <w:rPr>
          <w:rFonts w:ascii="仿宋_GB2312" w:hAnsi="仿宋_GB2312"/>
          <w:color w:val="auto"/>
          <w:highlight w:val="none"/>
        </w:rPr>
        <w:t>方式。</w:t>
      </w:r>
    </w:p>
    <w:p>
      <w:pPr>
        <w:widowControl/>
        <w:shd w:val="clear" w:color="auto" w:fill="FFFFFF"/>
        <w:ind w:firstLine="640" w:firstLineChars="200"/>
        <w:rPr>
          <w:rFonts w:ascii="仿宋_GB2312"/>
          <w:color w:val="auto"/>
          <w:highlight w:val="none"/>
        </w:rPr>
      </w:pPr>
      <w:r>
        <w:rPr>
          <w:color w:val="auto"/>
          <w:kern w:val="0"/>
          <w:highlight w:val="none"/>
        </w:rPr>
        <w:t>1.4</w:t>
      </w:r>
      <w:r>
        <w:rPr>
          <w:rFonts w:ascii="仿宋_GB2312" w:hAnsi="仿宋_GB2312"/>
          <w:color w:val="auto"/>
          <w:kern w:val="0"/>
          <w:highlight w:val="none"/>
        </w:rPr>
        <w:t>施工组织设计评审</w:t>
      </w:r>
      <w:r>
        <w:rPr>
          <w:rFonts w:ascii="仿宋_GB2312" w:hAnsi="仿宋_GB2312"/>
          <w:color w:val="auto"/>
          <w:highlight w:val="none"/>
        </w:rPr>
        <w:t>由评标委员会按照本办法第十九条</w:t>
      </w:r>
      <w:r>
        <w:rPr>
          <w:rFonts w:hint="eastAsia" w:ascii="仿宋_GB2312"/>
          <w:color w:val="auto"/>
          <w:highlight w:val="none"/>
        </w:rPr>
        <w:t>及附件</w:t>
      </w:r>
      <w:r>
        <w:rPr>
          <w:rFonts w:hint="eastAsia"/>
          <w:color w:val="auto"/>
          <w:highlight w:val="none"/>
        </w:rPr>
        <w:t>3</w:t>
      </w:r>
      <w:r>
        <w:rPr>
          <w:rFonts w:hint="eastAsia" w:ascii="仿宋_GB2312"/>
          <w:color w:val="auto"/>
          <w:highlight w:val="none"/>
        </w:rPr>
        <w:t>进行评审。</w:t>
      </w:r>
    </w:p>
    <w:p>
      <w:pPr>
        <w:widowControl/>
        <w:shd w:val="clear" w:color="auto" w:fill="FFFFFF"/>
        <w:ind w:firstLine="640" w:firstLineChars="200"/>
        <w:rPr>
          <w:rFonts w:hint="eastAsia" w:hAnsi="Calibri" w:cs="宋体"/>
          <w:color w:val="auto"/>
          <w:highlight w:val="none"/>
        </w:rPr>
      </w:pPr>
      <w:r>
        <w:rPr>
          <w:rFonts w:hint="eastAsia" w:ascii="仿宋_GB2312"/>
          <w:color w:val="auto"/>
          <w:highlight w:val="none"/>
        </w:rPr>
        <w:t>1.5施工组织</w:t>
      </w:r>
      <w:r>
        <w:rPr>
          <w:rFonts w:ascii="仿宋_GB2312"/>
          <w:color w:val="auto"/>
          <w:highlight w:val="none"/>
        </w:rPr>
        <w:t>设计应当在</w:t>
      </w:r>
      <w:r>
        <w:rPr>
          <w:rFonts w:ascii="仿宋_GB2312" w:hAnsi="仿宋_GB2312"/>
          <w:color w:val="auto"/>
          <w:kern w:val="0"/>
          <w:highlight w:val="none"/>
        </w:rPr>
        <w:t>企业资信及履约能力评审</w:t>
      </w:r>
      <w:r>
        <w:rPr>
          <w:rFonts w:hint="eastAsia" w:ascii="仿宋_GB2312" w:hAnsi="仿宋_GB2312"/>
          <w:color w:val="auto"/>
          <w:kern w:val="0"/>
          <w:highlight w:val="none"/>
        </w:rPr>
        <w:t>前</w:t>
      </w:r>
      <w:r>
        <w:rPr>
          <w:rFonts w:ascii="仿宋_GB2312" w:hAnsi="仿宋_GB2312"/>
          <w:color w:val="auto"/>
          <w:kern w:val="0"/>
          <w:highlight w:val="none"/>
        </w:rPr>
        <w:t>进行评审。</w:t>
      </w:r>
    </w:p>
    <w:p>
      <w:pPr>
        <w:widowControl/>
        <w:shd w:val="clear" w:color="auto" w:fill="FFFFFF"/>
        <w:ind w:firstLine="640" w:firstLineChars="200"/>
        <w:rPr>
          <w:rFonts w:hint="eastAsia"/>
          <w:color w:val="auto"/>
          <w:kern w:val="0"/>
          <w:highlight w:val="none"/>
        </w:rPr>
      </w:pPr>
      <w:r>
        <w:rPr>
          <w:color w:val="auto"/>
          <w:kern w:val="0"/>
          <w:highlight w:val="none"/>
        </w:rPr>
        <w:t>2</w:t>
      </w:r>
      <w:r>
        <w:rPr>
          <w:rFonts w:ascii="仿宋_GB2312" w:hAnsi="仿宋_GB2312"/>
          <w:color w:val="auto"/>
          <w:kern w:val="0"/>
          <w:highlight w:val="none"/>
        </w:rPr>
        <w:t>．企业资信及履约能力评审。按照本办法第二十条至第二十</w:t>
      </w:r>
      <w:r>
        <w:rPr>
          <w:rFonts w:hint="eastAsia" w:ascii="仿宋_GB2312" w:hAnsi="仿宋_GB2312"/>
          <w:color w:val="auto"/>
          <w:kern w:val="0"/>
          <w:highlight w:val="none"/>
        </w:rPr>
        <w:t>一</w:t>
      </w:r>
      <w:r>
        <w:rPr>
          <w:rFonts w:ascii="仿宋_GB2312" w:hAnsi="仿宋_GB2312"/>
          <w:color w:val="auto"/>
          <w:kern w:val="0"/>
          <w:highlight w:val="none"/>
        </w:rPr>
        <w:t>条以及相关评审表格和招标文件之规定进行评审。</w:t>
      </w:r>
    </w:p>
    <w:p>
      <w:pPr>
        <w:widowControl/>
        <w:shd w:val="clear" w:color="auto" w:fill="FFFFFF"/>
        <w:ind w:firstLine="640" w:firstLineChars="200"/>
        <w:rPr>
          <w:b/>
          <w:bCs/>
          <w:color w:val="auto"/>
          <w:kern w:val="0"/>
          <w:highlight w:val="none"/>
        </w:rPr>
      </w:pPr>
      <w:r>
        <w:rPr>
          <w:color w:val="auto"/>
          <w:kern w:val="0"/>
          <w:highlight w:val="none"/>
        </w:rPr>
        <w:t>3</w:t>
      </w:r>
      <w:r>
        <w:rPr>
          <w:rFonts w:ascii="仿宋_GB2312" w:hAnsi="仿宋_GB2312"/>
          <w:color w:val="auto"/>
          <w:kern w:val="0"/>
          <w:highlight w:val="none"/>
        </w:rPr>
        <w:t xml:space="preserve">. </w:t>
      </w:r>
      <w:r>
        <w:rPr>
          <w:rFonts w:hint="eastAsia" w:ascii="仿宋_GB2312" w:hAnsi="仿宋_GB2312"/>
          <w:color w:val="auto"/>
          <w:kern w:val="0"/>
          <w:highlight w:val="none"/>
        </w:rPr>
        <w:t>投标</w:t>
      </w:r>
      <w:r>
        <w:rPr>
          <w:rFonts w:ascii="仿宋_GB2312" w:hAnsi="仿宋_GB2312"/>
          <w:color w:val="auto"/>
          <w:kern w:val="0"/>
          <w:highlight w:val="none"/>
        </w:rPr>
        <w:t>报价评审。</w:t>
      </w:r>
    </w:p>
    <w:p>
      <w:pPr>
        <w:widowControl/>
        <w:shd w:val="clear" w:color="auto" w:fill="FFFFFF"/>
        <w:ind w:firstLine="640" w:firstLineChars="200"/>
        <w:rPr>
          <w:color w:val="auto"/>
          <w:kern w:val="0"/>
          <w:highlight w:val="none"/>
        </w:rPr>
      </w:pPr>
      <w:r>
        <w:rPr>
          <w:color w:val="auto"/>
          <w:kern w:val="0"/>
          <w:highlight w:val="none"/>
        </w:rPr>
        <w:t>4</w:t>
      </w:r>
      <w:r>
        <w:rPr>
          <w:rFonts w:ascii="仿宋_GB2312" w:hAnsi="仿宋_GB2312"/>
          <w:color w:val="auto"/>
          <w:kern w:val="0"/>
          <w:highlight w:val="none"/>
        </w:rPr>
        <w:t>．汇总评分结果。</w:t>
      </w:r>
    </w:p>
    <w:p>
      <w:pPr>
        <w:widowControl/>
        <w:shd w:val="clear" w:color="auto" w:fill="FFFFFF"/>
        <w:ind w:firstLine="640" w:firstLineChars="200"/>
        <w:rPr>
          <w:color w:val="auto"/>
          <w:kern w:val="0"/>
          <w:highlight w:val="none"/>
        </w:rPr>
      </w:pPr>
      <w:r>
        <w:rPr>
          <w:color w:val="auto"/>
          <w:kern w:val="0"/>
          <w:highlight w:val="none"/>
        </w:rPr>
        <w:t>C=J</w:t>
      </w:r>
      <w:r>
        <w:rPr>
          <w:color w:val="auto"/>
          <w:kern w:val="0"/>
          <w:highlight w:val="none"/>
          <w:vertAlign w:val="subscript"/>
        </w:rPr>
        <w:t>1</w:t>
      </w:r>
      <w:r>
        <w:rPr>
          <w:color w:val="auto"/>
          <w:kern w:val="0"/>
          <w:highlight w:val="none"/>
        </w:rPr>
        <w:t>×D+J</w:t>
      </w:r>
      <w:r>
        <w:rPr>
          <w:color w:val="auto"/>
          <w:kern w:val="0"/>
          <w:highlight w:val="none"/>
          <w:vertAlign w:val="subscript"/>
        </w:rPr>
        <w:t>2</w:t>
      </w:r>
      <w:r>
        <w:rPr>
          <w:color w:val="auto"/>
          <w:kern w:val="0"/>
          <w:highlight w:val="none"/>
        </w:rPr>
        <w:t>×E+J</w:t>
      </w:r>
      <w:r>
        <w:rPr>
          <w:color w:val="auto"/>
          <w:kern w:val="0"/>
          <w:highlight w:val="none"/>
          <w:vertAlign w:val="subscript"/>
        </w:rPr>
        <w:t>3</w:t>
      </w:r>
      <w:r>
        <w:rPr>
          <w:color w:val="auto"/>
          <w:kern w:val="0"/>
          <w:highlight w:val="none"/>
        </w:rPr>
        <w:t>×F</w:t>
      </w:r>
    </w:p>
    <w:p>
      <w:pPr>
        <w:widowControl/>
        <w:shd w:val="clear" w:color="auto" w:fill="FFFFFF"/>
        <w:ind w:firstLine="640" w:firstLineChars="200"/>
        <w:rPr>
          <w:rFonts w:ascii="仿宋_GB2312" w:hAnsi="仿宋_GB2312"/>
          <w:color w:val="auto"/>
          <w:kern w:val="0"/>
          <w:highlight w:val="none"/>
        </w:rPr>
      </w:pPr>
      <w:r>
        <w:rPr>
          <w:rFonts w:ascii="仿宋_GB2312" w:hAnsi="仿宋_GB2312"/>
          <w:color w:val="auto"/>
          <w:kern w:val="0"/>
          <w:highlight w:val="none"/>
        </w:rPr>
        <w:t>其中：</w:t>
      </w:r>
    </w:p>
    <w:p>
      <w:pPr>
        <w:widowControl/>
        <w:shd w:val="clear" w:color="auto" w:fill="FFFFFF"/>
        <w:ind w:firstLine="640" w:firstLineChars="200"/>
        <w:rPr>
          <w:color w:val="auto"/>
          <w:kern w:val="0"/>
          <w:highlight w:val="none"/>
        </w:rPr>
      </w:pPr>
      <w:r>
        <w:rPr>
          <w:color w:val="auto"/>
          <w:kern w:val="0"/>
          <w:highlight w:val="none"/>
        </w:rPr>
        <w:t>C——</w:t>
      </w:r>
      <w:r>
        <w:rPr>
          <w:rFonts w:ascii="仿宋_GB2312" w:hAnsi="仿宋_GB2312"/>
          <w:color w:val="auto"/>
          <w:kern w:val="0"/>
          <w:highlight w:val="none"/>
        </w:rPr>
        <w:t>评标总得分</w:t>
      </w:r>
    </w:p>
    <w:p>
      <w:pPr>
        <w:widowControl/>
        <w:shd w:val="clear" w:color="auto" w:fill="FFFFFF"/>
        <w:ind w:firstLine="640" w:firstLineChars="200"/>
        <w:rPr>
          <w:color w:val="auto"/>
          <w:kern w:val="0"/>
          <w:highlight w:val="none"/>
        </w:rPr>
      </w:pPr>
      <w:r>
        <w:rPr>
          <w:color w:val="auto"/>
          <w:kern w:val="0"/>
          <w:highlight w:val="none"/>
        </w:rPr>
        <w:t>D——</w:t>
      </w:r>
      <w:r>
        <w:rPr>
          <w:rFonts w:ascii="仿宋_GB2312" w:hAnsi="仿宋_GB2312"/>
          <w:color w:val="auto"/>
          <w:kern w:val="0"/>
          <w:highlight w:val="none"/>
        </w:rPr>
        <w:t>施工组织设计评审得分</w:t>
      </w:r>
    </w:p>
    <w:p>
      <w:pPr>
        <w:widowControl/>
        <w:shd w:val="clear" w:color="auto" w:fill="FFFFFF"/>
        <w:ind w:firstLine="640" w:firstLineChars="200"/>
        <w:rPr>
          <w:color w:val="auto"/>
          <w:kern w:val="0"/>
          <w:highlight w:val="none"/>
        </w:rPr>
      </w:pPr>
      <w:r>
        <w:rPr>
          <w:color w:val="auto"/>
          <w:kern w:val="0"/>
          <w:highlight w:val="none"/>
        </w:rPr>
        <w:t>E——</w:t>
      </w:r>
      <w:r>
        <w:rPr>
          <w:rFonts w:ascii="仿宋_GB2312" w:hAnsi="仿宋_GB2312"/>
          <w:color w:val="auto"/>
          <w:kern w:val="0"/>
          <w:highlight w:val="none"/>
        </w:rPr>
        <w:t>企业资信及履约能力评审得分</w:t>
      </w:r>
    </w:p>
    <w:p>
      <w:pPr>
        <w:widowControl/>
        <w:shd w:val="clear" w:color="auto" w:fill="FFFFFF"/>
        <w:ind w:firstLine="640" w:firstLineChars="200"/>
        <w:rPr>
          <w:color w:val="auto"/>
          <w:kern w:val="0"/>
          <w:highlight w:val="none"/>
        </w:rPr>
      </w:pPr>
      <w:r>
        <w:rPr>
          <w:color w:val="auto"/>
          <w:kern w:val="0"/>
          <w:highlight w:val="none"/>
        </w:rPr>
        <w:t>F——</w:t>
      </w:r>
      <w:r>
        <w:rPr>
          <w:rFonts w:hint="eastAsia"/>
          <w:color w:val="auto"/>
          <w:kern w:val="0"/>
          <w:highlight w:val="none"/>
        </w:rPr>
        <w:t>投标</w:t>
      </w:r>
      <w:r>
        <w:rPr>
          <w:rFonts w:ascii="仿宋_GB2312" w:hAnsi="仿宋_GB2312"/>
          <w:color w:val="auto"/>
          <w:kern w:val="0"/>
          <w:highlight w:val="none"/>
        </w:rPr>
        <w:t>报价评审得分</w:t>
      </w:r>
    </w:p>
    <w:p>
      <w:pPr>
        <w:widowControl/>
        <w:shd w:val="clear" w:color="auto" w:fill="FFFFFF"/>
        <w:ind w:firstLine="640" w:firstLineChars="200"/>
        <w:rPr>
          <w:color w:val="auto"/>
          <w:kern w:val="0"/>
          <w:highlight w:val="none"/>
        </w:rPr>
      </w:pPr>
      <w:r>
        <w:rPr>
          <w:color w:val="auto"/>
          <w:kern w:val="0"/>
          <w:highlight w:val="none"/>
        </w:rPr>
        <w:t>J</w:t>
      </w:r>
      <w:r>
        <w:rPr>
          <w:color w:val="auto"/>
          <w:kern w:val="0"/>
          <w:highlight w:val="none"/>
          <w:vertAlign w:val="subscript"/>
        </w:rPr>
        <w:t>1</w:t>
      </w:r>
      <w:r>
        <w:rPr>
          <w:rFonts w:ascii="仿宋_GB2312" w:hAnsi="仿宋_GB2312"/>
          <w:color w:val="auto"/>
          <w:kern w:val="0"/>
          <w:highlight w:val="none"/>
        </w:rPr>
        <w:t>、</w:t>
      </w:r>
      <w:r>
        <w:rPr>
          <w:color w:val="auto"/>
          <w:kern w:val="0"/>
          <w:highlight w:val="none"/>
        </w:rPr>
        <w:t>J</w:t>
      </w:r>
      <w:r>
        <w:rPr>
          <w:color w:val="auto"/>
          <w:kern w:val="0"/>
          <w:highlight w:val="none"/>
          <w:vertAlign w:val="subscript"/>
        </w:rPr>
        <w:t>2</w:t>
      </w:r>
      <w:r>
        <w:rPr>
          <w:rFonts w:ascii="仿宋_GB2312" w:hAnsi="仿宋_GB2312"/>
          <w:color w:val="auto"/>
          <w:kern w:val="0"/>
          <w:highlight w:val="none"/>
        </w:rPr>
        <w:t>、</w:t>
      </w:r>
      <w:r>
        <w:rPr>
          <w:color w:val="auto"/>
          <w:kern w:val="0"/>
          <w:highlight w:val="none"/>
        </w:rPr>
        <w:t>J</w:t>
      </w:r>
      <w:r>
        <w:rPr>
          <w:color w:val="auto"/>
          <w:kern w:val="0"/>
          <w:highlight w:val="none"/>
          <w:vertAlign w:val="subscript"/>
        </w:rPr>
        <w:t>3</w:t>
      </w:r>
      <w:r>
        <w:rPr>
          <w:color w:val="auto"/>
          <w:kern w:val="0"/>
          <w:highlight w:val="none"/>
        </w:rPr>
        <w:t>——</w:t>
      </w:r>
      <w:r>
        <w:rPr>
          <w:rFonts w:ascii="仿宋_GB2312" w:hAnsi="仿宋_GB2312"/>
          <w:color w:val="auto"/>
          <w:kern w:val="0"/>
          <w:highlight w:val="none"/>
        </w:rPr>
        <w:t>各项评审因素的权重</w:t>
      </w:r>
    </w:p>
    <w:p>
      <w:pPr>
        <w:widowControl/>
        <w:shd w:val="clear" w:color="auto" w:fill="FFFFFF"/>
        <w:ind w:firstLine="643" w:firstLineChars="200"/>
        <w:rPr>
          <w:rFonts w:ascii="楷体_GB2312" w:eastAsia="楷体_GB2312" w:cs="宋体"/>
          <w:b/>
          <w:bCs/>
          <w:color w:val="auto"/>
          <w:kern w:val="0"/>
          <w:highlight w:val="none"/>
        </w:rPr>
      </w:pPr>
      <w:r>
        <w:rPr>
          <w:rFonts w:hint="eastAsia" w:ascii="楷体_GB2312" w:hAnsi="仿宋_GB2312" w:eastAsia="楷体_GB2312"/>
          <w:b/>
          <w:bCs/>
          <w:color w:val="auto"/>
          <w:kern w:val="0"/>
          <w:highlight w:val="none"/>
        </w:rPr>
        <w:t>（三）投标报价评审的步骤和方式</w:t>
      </w:r>
    </w:p>
    <w:p>
      <w:pPr>
        <w:widowControl/>
        <w:shd w:val="clear" w:color="auto" w:fill="FFFFFF"/>
        <w:ind w:firstLine="640" w:firstLineChars="200"/>
        <w:rPr>
          <w:rFonts w:hint="eastAsia"/>
          <w:color w:val="auto"/>
          <w:kern w:val="0"/>
          <w:highlight w:val="none"/>
        </w:rPr>
      </w:pPr>
      <w:r>
        <w:rPr>
          <w:color w:val="auto"/>
          <w:kern w:val="0"/>
          <w:highlight w:val="none"/>
        </w:rPr>
        <w:t xml:space="preserve">1. </w:t>
      </w:r>
      <w:r>
        <w:rPr>
          <w:rFonts w:ascii="仿宋_GB2312" w:hAnsi="仿宋_GB2312"/>
          <w:color w:val="auto"/>
          <w:kern w:val="0"/>
          <w:highlight w:val="none"/>
        </w:rPr>
        <w:t>按照本办法</w:t>
      </w:r>
      <w:r>
        <w:rPr>
          <w:rFonts w:hint="eastAsia" w:ascii="仿宋_GB2312"/>
          <w:bCs/>
          <w:color w:val="auto"/>
          <w:highlight w:val="none"/>
        </w:rPr>
        <w:t>第二十四条至第二十五条</w:t>
      </w:r>
      <w:r>
        <w:rPr>
          <w:rFonts w:ascii="仿宋_GB2312" w:hAnsi="仿宋_GB2312"/>
          <w:color w:val="auto"/>
          <w:kern w:val="0"/>
          <w:highlight w:val="none"/>
        </w:rPr>
        <w:t>之规定进行评审，对低于成本报价竞争的投标人予以否决。</w:t>
      </w:r>
    </w:p>
    <w:p>
      <w:pPr>
        <w:widowControl/>
        <w:shd w:val="clear" w:color="auto" w:fill="FFFFFF"/>
        <w:ind w:firstLine="640" w:firstLineChars="200"/>
        <w:rPr>
          <w:color w:val="auto"/>
          <w:kern w:val="0"/>
          <w:highlight w:val="none"/>
        </w:rPr>
      </w:pPr>
      <w:r>
        <w:rPr>
          <w:color w:val="auto"/>
          <w:kern w:val="0"/>
          <w:highlight w:val="none"/>
        </w:rPr>
        <w:t>2</w:t>
      </w:r>
      <w:r>
        <w:rPr>
          <w:rFonts w:ascii="仿宋_GB2312" w:hAnsi="仿宋_GB2312"/>
          <w:color w:val="auto"/>
          <w:kern w:val="0"/>
          <w:highlight w:val="none"/>
        </w:rPr>
        <w:t>．</w:t>
      </w:r>
      <w:r>
        <w:rPr>
          <w:rFonts w:hint="eastAsia" w:ascii="仿宋_GB2312" w:hAnsi="仿宋_GB2312"/>
          <w:color w:val="auto"/>
          <w:kern w:val="0"/>
          <w:highlight w:val="none"/>
        </w:rPr>
        <w:t>按照</w:t>
      </w:r>
      <w:r>
        <w:rPr>
          <w:rFonts w:ascii="仿宋_GB2312" w:hAnsi="仿宋_GB2312"/>
          <w:color w:val="auto"/>
          <w:kern w:val="0"/>
          <w:highlight w:val="none"/>
        </w:rPr>
        <w:t>附件</w:t>
      </w:r>
      <w:r>
        <w:rPr>
          <w:rFonts w:hint="eastAsia" w:ascii="仿宋_GB2312" w:hAnsi="仿宋_GB2312"/>
          <w:color w:val="auto"/>
          <w:kern w:val="0"/>
          <w:highlight w:val="none"/>
        </w:rPr>
        <w:t>5</w:t>
      </w:r>
      <w:r>
        <w:rPr>
          <w:rFonts w:ascii="仿宋_GB2312" w:hAnsi="仿宋_GB2312"/>
          <w:color w:val="auto"/>
          <w:kern w:val="0"/>
          <w:highlight w:val="none"/>
        </w:rPr>
        <w:t>-2</w:t>
      </w:r>
      <w:r>
        <w:rPr>
          <w:rFonts w:hint="eastAsia" w:ascii="仿宋_GB2312" w:hAnsi="仿宋_GB2312"/>
          <w:color w:val="auto"/>
          <w:kern w:val="0"/>
          <w:highlight w:val="none"/>
        </w:rPr>
        <w:t>对</w:t>
      </w:r>
      <w:r>
        <w:rPr>
          <w:rFonts w:ascii="仿宋_GB2312" w:hAnsi="仿宋_GB2312"/>
          <w:color w:val="auto"/>
          <w:kern w:val="0"/>
          <w:highlight w:val="none"/>
        </w:rPr>
        <w:t>投标报价进行评审。</w:t>
      </w:r>
      <w:r>
        <w:rPr>
          <w:color w:val="auto"/>
          <w:kern w:val="0"/>
          <w:highlight w:val="none"/>
        </w:rPr>
        <w:t xml:space="preserve"> </w:t>
      </w:r>
    </w:p>
    <w:p>
      <w:pPr>
        <w:widowControl/>
        <w:shd w:val="clear" w:color="auto" w:fill="FFFFFF"/>
        <w:ind w:firstLine="643" w:firstLineChars="200"/>
        <w:rPr>
          <w:rFonts w:ascii="楷体_GB2312" w:hAnsi="仿宋_GB2312" w:eastAsia="楷体_GB2312" w:cs="宋体"/>
          <w:b/>
          <w:bCs/>
          <w:color w:val="auto"/>
          <w:kern w:val="0"/>
          <w:highlight w:val="none"/>
        </w:rPr>
      </w:pPr>
      <w:r>
        <w:rPr>
          <w:rFonts w:hint="eastAsia" w:ascii="楷体_GB2312" w:hAnsi="仿宋_GB2312" w:eastAsia="楷体_GB2312"/>
          <w:b/>
          <w:bCs/>
          <w:color w:val="auto"/>
          <w:kern w:val="0"/>
          <w:highlight w:val="none"/>
        </w:rPr>
        <w:t>（四）各项评审因素权重</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3780"/>
        <w:gridCol w:w="3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12" w:space="0"/>
              <w:left w:val="nil"/>
              <w:bottom w:val="single" w:color="auto" w:sz="6" w:space="0"/>
              <w:right w:val="single" w:color="auto" w:sz="6" w:space="0"/>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序号</w:t>
            </w:r>
          </w:p>
        </w:tc>
        <w:tc>
          <w:tcPr>
            <w:tcW w:w="378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评审因素</w:t>
            </w:r>
          </w:p>
        </w:tc>
        <w:tc>
          <w:tcPr>
            <w:tcW w:w="3060" w:type="dxa"/>
            <w:tcBorders>
              <w:top w:val="single" w:color="auto" w:sz="12" w:space="0"/>
              <w:left w:val="single" w:color="auto" w:sz="6" w:space="0"/>
              <w:bottom w:val="single" w:color="auto" w:sz="6" w:space="0"/>
              <w:right w:val="nil"/>
            </w:tcBorders>
            <w:noWrap w:val="0"/>
            <w:vAlign w:val="center"/>
          </w:tcPr>
          <w:p>
            <w:pPr>
              <w:widowControl/>
              <w:jc w:val="center"/>
              <w:rPr>
                <w:rFonts w:ascii="仿宋_GB2312" w:hAnsi="Calibri" w:cs="宋体"/>
                <w:color w:val="auto"/>
                <w:kern w:val="0"/>
                <w:szCs w:val="32"/>
                <w:highlight w:val="none"/>
              </w:rPr>
            </w:pPr>
            <w:r>
              <w:rPr>
                <w:rFonts w:hint="eastAsia" w:ascii="仿宋_GB2312"/>
                <w:color w:val="auto"/>
                <w:kern w:val="0"/>
                <w:highlight w:val="none"/>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1</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施工组织设计</w:t>
            </w:r>
          </w:p>
        </w:tc>
        <w:tc>
          <w:tcPr>
            <w:tcW w:w="3060" w:type="dxa"/>
            <w:tcBorders>
              <w:top w:val="single" w:color="auto" w:sz="6" w:space="0"/>
              <w:left w:val="single" w:color="auto" w:sz="6" w:space="0"/>
              <w:bottom w:val="single" w:color="auto" w:sz="6" w:space="0"/>
              <w:right w:val="nil"/>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0.00-0.</w:t>
            </w:r>
            <w:r>
              <w:rPr>
                <w:rFonts w:ascii="仿宋_GB2312"/>
                <w:color w:val="auto"/>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2</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企业资信及履约能力</w:t>
            </w:r>
          </w:p>
        </w:tc>
        <w:tc>
          <w:tcPr>
            <w:tcW w:w="3060" w:type="dxa"/>
            <w:tcBorders>
              <w:top w:val="single" w:color="auto" w:sz="6" w:space="0"/>
              <w:left w:val="single" w:color="auto" w:sz="6" w:space="0"/>
              <w:bottom w:val="single" w:color="auto" w:sz="6" w:space="0"/>
              <w:right w:val="nil"/>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0.</w:t>
            </w:r>
            <w:r>
              <w:rPr>
                <w:rFonts w:ascii="仿宋_GB2312"/>
                <w:color w:val="auto"/>
                <w:highlight w:val="none"/>
              </w:rPr>
              <w:t>3</w:t>
            </w:r>
            <w:r>
              <w:rPr>
                <w:rFonts w:hint="eastAsia" w:ascii="仿宋_GB2312"/>
                <w:color w:val="auto"/>
                <w:highlight w:val="none"/>
              </w:rPr>
              <w:t>5-0.</w:t>
            </w:r>
            <w:r>
              <w:rPr>
                <w:rFonts w:ascii="仿宋_GB2312"/>
                <w:color w:val="auto"/>
                <w:highlight w:val="none"/>
              </w:rPr>
              <w:t>4</w:t>
            </w:r>
            <w:r>
              <w:rPr>
                <w:rFonts w:hint="eastAsia" w:ascii="仿宋_GB2312"/>
                <w:color w:val="auto"/>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2" w:type="dxa"/>
            <w:tcBorders>
              <w:top w:val="single" w:color="auto" w:sz="6" w:space="0"/>
              <w:left w:val="nil"/>
              <w:bottom w:val="single" w:color="auto" w:sz="6"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3</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Calibri" w:cs="宋体"/>
                <w:color w:val="auto"/>
                <w:spacing w:val="-14"/>
                <w:szCs w:val="32"/>
                <w:highlight w:val="none"/>
              </w:rPr>
            </w:pPr>
            <w:r>
              <w:rPr>
                <w:rFonts w:hint="eastAsia" w:ascii="仿宋_GB2312"/>
                <w:color w:val="auto"/>
                <w:highlight w:val="none"/>
              </w:rPr>
              <w:t>投标报价</w:t>
            </w:r>
          </w:p>
        </w:tc>
        <w:tc>
          <w:tcPr>
            <w:tcW w:w="3060" w:type="dxa"/>
            <w:tcBorders>
              <w:top w:val="single" w:color="auto" w:sz="6" w:space="0"/>
              <w:left w:val="single" w:color="auto" w:sz="6" w:space="0"/>
              <w:bottom w:val="single" w:color="auto" w:sz="6" w:space="0"/>
              <w:right w:val="nil"/>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0.</w:t>
            </w:r>
            <w:r>
              <w:rPr>
                <w:rFonts w:ascii="仿宋_GB2312"/>
                <w:color w:val="auto"/>
                <w:highlight w:val="none"/>
              </w:rPr>
              <w:t>45</w:t>
            </w:r>
            <w:r>
              <w:rPr>
                <w:rFonts w:hint="eastAsia" w:ascii="仿宋_GB2312"/>
                <w:color w:val="auto"/>
                <w:highlight w:val="none"/>
              </w:rPr>
              <w:t>-0.</w:t>
            </w:r>
            <w:r>
              <w:rPr>
                <w:rFonts w:ascii="仿宋_GB2312"/>
                <w:color w:val="auto"/>
                <w:highlight w:val="none"/>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912" w:type="dxa"/>
            <w:gridSpan w:val="2"/>
            <w:tcBorders>
              <w:top w:val="single" w:color="auto" w:sz="6" w:space="0"/>
              <w:left w:val="nil"/>
              <w:bottom w:val="single" w:color="auto" w:sz="12" w:space="0"/>
              <w:right w:val="single" w:color="auto" w:sz="6" w:space="0"/>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合  计</w:t>
            </w:r>
          </w:p>
        </w:tc>
        <w:tc>
          <w:tcPr>
            <w:tcW w:w="3060" w:type="dxa"/>
            <w:tcBorders>
              <w:top w:val="single" w:color="auto" w:sz="6" w:space="0"/>
              <w:left w:val="single" w:color="auto" w:sz="6" w:space="0"/>
              <w:bottom w:val="single" w:color="auto" w:sz="12" w:space="0"/>
              <w:right w:val="nil"/>
            </w:tcBorders>
            <w:noWrap w:val="0"/>
            <w:vAlign w:val="center"/>
          </w:tcPr>
          <w:p>
            <w:pPr>
              <w:jc w:val="center"/>
              <w:rPr>
                <w:rFonts w:ascii="仿宋_GB2312" w:hAnsi="Calibri" w:cs="宋体"/>
                <w:color w:val="auto"/>
                <w:szCs w:val="32"/>
                <w:highlight w:val="none"/>
              </w:rPr>
            </w:pPr>
            <w:r>
              <w:rPr>
                <w:rFonts w:hint="eastAsia" w:ascii="仿宋_GB2312"/>
                <w:color w:val="auto"/>
                <w:highlight w:val="none"/>
              </w:rPr>
              <w:t>1</w:t>
            </w:r>
          </w:p>
        </w:tc>
      </w:tr>
    </w:tbl>
    <w:p>
      <w:pPr>
        <w:widowControl/>
        <w:shd w:val="clear" w:color="auto" w:fill="FFFFFF"/>
        <w:ind w:firstLine="640" w:firstLineChars="200"/>
        <w:rPr>
          <w:rFonts w:hint="eastAsia" w:ascii="黑体" w:hAnsi="Calibri" w:eastAsia="黑体"/>
          <w:color w:val="auto"/>
          <w:kern w:val="0"/>
          <w:szCs w:val="32"/>
          <w:highlight w:val="none"/>
        </w:rPr>
      </w:pPr>
      <w:r>
        <w:rPr>
          <w:rFonts w:hint="eastAsia" w:ascii="黑体" w:eastAsia="黑体"/>
          <w:color w:val="auto"/>
          <w:kern w:val="0"/>
          <w:highlight w:val="none"/>
        </w:rPr>
        <w:t>三、中标候选人的确定</w:t>
      </w:r>
    </w:p>
    <w:p>
      <w:pPr>
        <w:ind w:firstLine="640" w:firstLineChars="200"/>
        <w:rPr>
          <w:rFonts w:hint="eastAsia" w:ascii="仿宋_GB2312"/>
          <w:color w:val="auto"/>
          <w:highlight w:val="none"/>
        </w:rPr>
      </w:pPr>
      <w:r>
        <w:rPr>
          <w:rFonts w:ascii="仿宋_GB2312" w:hAnsi="仿宋_GB2312"/>
          <w:color w:val="auto"/>
          <w:highlight w:val="none"/>
        </w:rPr>
        <w:t>按照评标总得分从高至低确定投标人排序。根据招标文件的要求，推荐不超过</w:t>
      </w:r>
      <w:r>
        <w:rPr>
          <w:color w:val="auto"/>
          <w:highlight w:val="none"/>
        </w:rPr>
        <w:t>3</w:t>
      </w:r>
      <w:r>
        <w:rPr>
          <w:rFonts w:ascii="仿宋_GB2312" w:hAnsi="仿宋_GB2312"/>
          <w:color w:val="auto"/>
          <w:highlight w:val="none"/>
        </w:rPr>
        <w:t>个有排序的中标候选人，招标人按照中标候选人的排序确定中标人。</w:t>
      </w:r>
      <w:r>
        <w:rPr>
          <w:rFonts w:ascii="仿宋_GB2312" w:hAnsi="仿宋_GB2312"/>
          <w:color w:val="auto"/>
          <w:kern w:val="0"/>
          <w:highlight w:val="none"/>
        </w:rPr>
        <w:t>或者</w:t>
      </w:r>
      <w:r>
        <w:rPr>
          <w:rFonts w:ascii="仿宋_GB2312" w:hAnsi="仿宋_GB2312"/>
          <w:color w:val="auto"/>
          <w:highlight w:val="none"/>
        </w:rPr>
        <w:t>按照招标文件的要求，由评标委员会推荐</w:t>
      </w:r>
      <w:r>
        <w:rPr>
          <w:color w:val="auto"/>
          <w:highlight w:val="none"/>
        </w:rPr>
        <w:t>3</w:t>
      </w:r>
      <w:r>
        <w:rPr>
          <w:rFonts w:ascii="仿宋_GB2312" w:hAnsi="仿宋_GB2312"/>
          <w:color w:val="auto"/>
          <w:highlight w:val="none"/>
        </w:rPr>
        <w:t>个不排序的中标候选人，由招标人确定中标人。</w:t>
      </w:r>
    </w:p>
    <w:p>
      <w:pPr>
        <w:rPr>
          <w:rFonts w:hint="eastAsia" w:ascii="仿宋_GB2312"/>
          <w:color w:val="auto"/>
          <w:highlight w:val="none"/>
        </w:rPr>
      </w:pPr>
      <w:r>
        <w:rPr>
          <w:rFonts w:hint="eastAsia" w:ascii="仿宋_GB2312"/>
          <w:color w:val="auto"/>
          <w:highlight w:val="none"/>
        </w:rPr>
        <w:t xml:space="preserve"> </w:t>
      </w:r>
    </w:p>
    <w:p>
      <w:pPr>
        <w:widowControl/>
        <w:jc w:val="left"/>
        <w:rPr>
          <w:rFonts w:ascii="黑体" w:hAnsi="宋体" w:eastAsia="黑体" w:cs="仿宋_GB2312"/>
          <w:color w:val="auto"/>
          <w:highlight w:val="none"/>
        </w:rPr>
        <w:sectPr>
          <w:pgSz w:w="11906" w:h="16838"/>
          <w:pgMar w:top="2098" w:right="1588" w:bottom="2098" w:left="1588" w:header="720" w:footer="720" w:gutter="0"/>
          <w:cols w:space="720" w:num="1"/>
          <w:docGrid w:type="lines" w:linePitch="574" w:charSpace="0"/>
        </w:sectPr>
      </w:pPr>
    </w:p>
    <w:p>
      <w:pPr>
        <w:ind w:left="-634" w:leftChars="-198" w:firstLine="640" w:firstLineChars="200"/>
        <w:rPr>
          <w:rFonts w:hint="eastAsia" w:ascii="黑体" w:eastAsia="黑体" w:cs="仿宋_GB2312"/>
          <w:color w:val="auto"/>
          <w:highlight w:val="none"/>
        </w:rPr>
      </w:pPr>
      <w:r>
        <w:rPr>
          <w:rFonts w:hint="eastAsia" w:ascii="黑体" w:eastAsia="黑体" w:cs="仿宋_GB2312"/>
          <w:color w:val="auto"/>
          <w:highlight w:val="none"/>
        </w:rPr>
        <w:t>附件3-1</w:t>
      </w:r>
    </w:p>
    <w:p>
      <w:pPr>
        <w:spacing w:after="159"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施工组织设计评审表</w:t>
      </w:r>
    </w:p>
    <w:tbl>
      <w:tblPr>
        <w:tblStyle w:val="5"/>
        <w:tblW w:w="14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2711"/>
        <w:gridCol w:w="1002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6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271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评审因素</w:t>
            </w: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 xml:space="preserve">                             评审标准                                                      </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659"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2711"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施工方案与技术措施</w:t>
            </w: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1.施工方案不完整，且缺少关键项目施工技术方案；或者市政项目缺少交通措施（除招标文件明确不需要外）；</w:t>
            </w:r>
          </w:p>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71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ind w:left="160" w:leftChars="50" w:right="160" w:rightChars="50"/>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659"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2711"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质量管理体系与措施</w:t>
            </w: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1.质量目标不满足招标文件要求，缺少质量保证措施；</w:t>
            </w:r>
          </w:p>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71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ind w:left="160" w:leftChars="50" w:right="160" w:rightChars="50"/>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59"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2711"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安全管理体系与措施</w:t>
            </w: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1.安全目标不满足招标文件要求，缺少重大危险源识别和控制，缺少施工安全措施；</w:t>
            </w:r>
          </w:p>
          <w:p>
            <w:pPr>
              <w:spacing w:line="32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2.引用强制性技术标准错误，或明显违反国家和省有关规定。</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71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100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ind w:left="160" w:leftChars="50" w:right="160" w:rightChars="50"/>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无不合格内容</w:t>
            </w:r>
          </w:p>
        </w:tc>
        <w:tc>
          <w:tcPr>
            <w:tcW w:w="10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合格</w:t>
            </w:r>
          </w:p>
        </w:tc>
      </w:tr>
    </w:tbl>
    <w:p>
      <w:pPr>
        <w:widowControl/>
        <w:shd w:val="clear" w:color="auto" w:fill="FFFFFF"/>
        <w:ind w:left="-634" w:leftChars="-198" w:firstLine="633" w:firstLineChars="264"/>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注：1.适用于施工组织设计采用合格性评审项目；</w:t>
      </w:r>
    </w:p>
    <w:p>
      <w:pPr>
        <w:widowControl/>
        <w:shd w:val="clear" w:color="auto" w:fill="FFFFFF"/>
        <w:ind w:left="-634" w:leftChars="-198" w:firstLine="1113" w:firstLineChars="464"/>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2.因施工组织设计缺项或者任意一项评审内容被评标委员会判定为不合格的，施工组织设计应当判定为不合格。</w:t>
      </w:r>
    </w:p>
    <w:p>
      <w:pPr>
        <w:rPr>
          <w:rFonts w:hint="eastAsia" w:ascii="黑体" w:hAnsi="Calibri" w:eastAsia="黑体" w:cs="仿宋_GB2312"/>
          <w:color w:val="auto"/>
          <w:szCs w:val="32"/>
          <w:highlight w:val="none"/>
        </w:rPr>
      </w:pPr>
      <w:r>
        <w:rPr>
          <w:rFonts w:hint="eastAsia" w:ascii="仿宋_GB2312"/>
          <w:color w:val="auto"/>
          <w:highlight w:val="none"/>
        </w:rPr>
        <w:br w:type="page"/>
      </w:r>
      <w:r>
        <w:rPr>
          <w:rFonts w:hint="eastAsia" w:ascii="黑体" w:eastAsia="黑体" w:cs="仿宋_GB2312"/>
          <w:color w:val="auto"/>
          <w:highlight w:val="none"/>
        </w:rPr>
        <w:t>附件3-2</w:t>
      </w:r>
    </w:p>
    <w:p>
      <w:pPr>
        <w:spacing w:after="159"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施工组织设计评审表</w:t>
      </w:r>
    </w:p>
    <w:tbl>
      <w:tblPr>
        <w:tblStyle w:val="5"/>
        <w:tblW w:w="14887" w:type="dxa"/>
        <w:jc w:val="center"/>
        <w:tblLayout w:type="fixed"/>
        <w:tblCellMar>
          <w:top w:w="0" w:type="dxa"/>
          <w:left w:w="0" w:type="dxa"/>
          <w:bottom w:w="0" w:type="dxa"/>
          <w:right w:w="0" w:type="dxa"/>
        </w:tblCellMar>
      </w:tblPr>
      <w:tblGrid>
        <w:gridCol w:w="530"/>
        <w:gridCol w:w="1526"/>
        <w:gridCol w:w="836"/>
        <w:gridCol w:w="10439"/>
        <w:gridCol w:w="778"/>
        <w:gridCol w:w="778"/>
      </w:tblGrid>
      <w:tr>
        <w:tblPrEx>
          <w:tblCellMar>
            <w:top w:w="0" w:type="dxa"/>
            <w:left w:w="0" w:type="dxa"/>
            <w:bottom w:w="0" w:type="dxa"/>
            <w:right w:w="0" w:type="dxa"/>
          </w:tblCellMar>
        </w:tblPrEx>
        <w:trPr>
          <w:trHeight w:val="358"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评审因素</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取值</w:t>
            </w:r>
          </w:p>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范围</w:t>
            </w:r>
          </w:p>
        </w:tc>
        <w:tc>
          <w:tcPr>
            <w:tcW w:w="1043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评审标准</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w:t>
            </w:r>
          </w:p>
          <w:p>
            <w:pPr>
              <w:spacing w:line="340" w:lineRule="exact"/>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计分</w:t>
            </w: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备注</w:t>
            </w:r>
          </w:p>
        </w:tc>
      </w:tr>
      <w:tr>
        <w:tblPrEx>
          <w:tblCellMar>
            <w:top w:w="0" w:type="dxa"/>
            <w:left w:w="0" w:type="dxa"/>
            <w:bottom w:w="0" w:type="dxa"/>
            <w:right w:w="0" w:type="dxa"/>
          </w:tblCellMar>
        </w:tblPrEx>
        <w:trPr>
          <w:trHeight w:val="539"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内容完整和</w:t>
            </w:r>
          </w:p>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编制水平</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0-5</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版面是否整齐，表述是否清晰，内容是否全面、准确，是否图文并茂，是否出现格式等错误，是否超过招标人规定的页数。</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strike/>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strike/>
                <w:color w:val="auto"/>
                <w:sz w:val="24"/>
                <w:highlight w:val="none"/>
              </w:rPr>
            </w:pPr>
          </w:p>
        </w:tc>
      </w:tr>
      <w:tr>
        <w:tblPrEx>
          <w:tblCellMar>
            <w:top w:w="0" w:type="dxa"/>
            <w:left w:w="0" w:type="dxa"/>
            <w:bottom w:w="0" w:type="dxa"/>
            <w:right w:w="0" w:type="dxa"/>
          </w:tblCellMar>
        </w:tblPrEx>
        <w:trPr>
          <w:trHeight w:val="67"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施工方案与        技术措施</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25-30</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市政基础设施项目，交通组织规划是否合理、可行，交通组织措施是否得力。</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rPr>
          <w:trHeight w:val="691"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质量管理体系与措施</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20</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质量目标是否明确，是否优于招标文件的要求；管理机构是否健全，职责分工是否明确；管理制度是否齐全；实施与监控措施是否全面、有效。</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757"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安全管理体系与措施</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20</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安全目标是否明确，是否优于招标文件的要求；管理机构是否健全，职责分工是否明确；管理制度是否齐全；实施与监控措施是否全面、有效。</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816"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5</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环境保护管理体系与措施</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5-10</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环境管理目标是否明确，是否优于招标文件的要求；是否管理机构健全，职责分工是否明确；管理制度是否齐全；实施与监控措施是否全面、有效。</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890"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6</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工程进度计划与保证措施</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10-15</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总工期及节点工期是否满足招标文件要求；施工进度计划内容是否全面，线路是否清晰、准确、完整，计划编制是否合理、可行；措施是否有力、合理、可行。</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522" w:hRule="atLeast"/>
          <w:jc w:val="center"/>
        </w:trPr>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7</w:t>
            </w:r>
          </w:p>
        </w:tc>
        <w:tc>
          <w:tcPr>
            <w:tcW w:w="152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资源配备计划</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5-10</w:t>
            </w:r>
          </w:p>
        </w:tc>
        <w:tc>
          <w:tcPr>
            <w:tcW w:w="1043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资源投入计划与施工部署、施工方法及进度计划是否能够相互呼应并较好满足施工需要，调配投入计划是否合理、准确。</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45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eastAsia="宋体" w:cs="仿宋_GB2312"/>
                <w:color w:val="auto"/>
                <w:sz w:val="24"/>
                <w:highlight w:val="none"/>
              </w:rPr>
            </w:pPr>
            <w:r>
              <w:rPr>
                <w:rFonts w:ascii="宋体" w:hAnsi="宋体" w:eastAsia="宋体" w:cs="仿宋_GB2312"/>
                <w:color w:val="auto"/>
                <w:sz w:val="24"/>
                <w:highlight w:val="none"/>
              </w:rPr>
              <w:t>8</w:t>
            </w:r>
          </w:p>
        </w:tc>
        <w:tc>
          <w:tcPr>
            <w:tcW w:w="1526"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其他</w:t>
            </w:r>
          </w:p>
        </w:tc>
        <w:tc>
          <w:tcPr>
            <w:tcW w:w="836"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0-10</w:t>
            </w:r>
          </w:p>
        </w:tc>
        <w:tc>
          <w:tcPr>
            <w:tcW w:w="1043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ind w:left="160" w:leftChars="50" w:right="160" w:rightChars="50"/>
              <w:rPr>
                <w:rFonts w:ascii="宋体" w:hAnsi="宋体" w:eastAsia="宋体" w:cs="仿宋_GB2312"/>
                <w:color w:val="auto"/>
                <w:sz w:val="24"/>
                <w:highlight w:val="none"/>
              </w:rPr>
            </w:pPr>
            <w:r>
              <w:rPr>
                <w:rFonts w:hint="eastAsia" w:ascii="宋体" w:hAnsi="宋体" w:eastAsia="宋体" w:cs="仿宋_GB2312"/>
                <w:color w:val="auto"/>
                <w:sz w:val="24"/>
                <w:highlight w:val="none"/>
              </w:rPr>
              <w:t>招标人其他要求（如有）</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342" w:hRule="atLeast"/>
          <w:jc w:val="center"/>
        </w:trPr>
        <w:tc>
          <w:tcPr>
            <w:tcW w:w="205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合计</w:t>
            </w:r>
          </w:p>
        </w:tc>
        <w:tc>
          <w:tcPr>
            <w:tcW w:w="8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w:t>
            </w:r>
          </w:p>
        </w:tc>
        <w:tc>
          <w:tcPr>
            <w:tcW w:w="1121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40" w:lineRule="exact"/>
              <w:jc w:val="center"/>
              <w:rPr>
                <w:rFonts w:ascii="宋体" w:hAnsi="宋体" w:eastAsia="宋体" w:cs="仿宋_GB2312"/>
                <w:color w:val="auto"/>
                <w:sz w:val="24"/>
                <w:highlight w:val="none"/>
              </w:rPr>
            </w:pPr>
          </w:p>
        </w:tc>
        <w:tc>
          <w:tcPr>
            <w:tcW w:w="778" w:type="dxa"/>
            <w:tcBorders>
              <w:top w:val="single" w:color="auto" w:sz="4" w:space="0"/>
              <w:left w:val="nil"/>
              <w:bottom w:val="single" w:color="auto" w:sz="4" w:space="0"/>
              <w:right w:val="single" w:color="auto" w:sz="4" w:space="0"/>
            </w:tcBorders>
            <w:noWrap w:val="0"/>
            <w:vAlign w:val="top"/>
          </w:tcPr>
          <w:p>
            <w:pPr>
              <w:spacing w:line="340" w:lineRule="exact"/>
              <w:jc w:val="center"/>
              <w:rPr>
                <w:rFonts w:ascii="宋体" w:hAnsi="宋体" w:eastAsia="宋体" w:cs="仿宋_GB2312"/>
                <w:color w:val="auto"/>
                <w:sz w:val="24"/>
                <w:highlight w:val="none"/>
              </w:rPr>
            </w:pPr>
          </w:p>
        </w:tc>
      </w:tr>
    </w:tbl>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1．适用于施工组织设计采用计分评审的项目；                                                                                                                                              2．采用暗标方式，施工组织设计文件一般不超过500页；                                                                                                                                           </w:t>
      </w:r>
    </w:p>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3．招标人应根据项目的特点在分值范围内设置各评审项目的具体分值，各项分值之和为100分；</w:t>
      </w:r>
    </w:p>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4．计分表中的评审标准为通用模板，招标人可根据项目的实际情况在评审标准的招标人其他要求中进行补充；</w:t>
      </w:r>
    </w:p>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5．单独招标的专业工程、园林绿化工程，招标人可根据项目实际情况对评审计分表中的评审项目、评审标准进行适当调整；</w:t>
      </w:r>
    </w:p>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6．缺失某项评审因素或者</w:t>
      </w:r>
      <w:r>
        <w:rPr>
          <w:rFonts w:ascii="宋体" w:hAnsi="宋体" w:eastAsia="宋体" w:cs="仿宋_GB2312"/>
          <w:color w:val="auto"/>
          <w:sz w:val="24"/>
          <w:highlight w:val="none"/>
        </w:rPr>
        <w:t>某项评审因素明显错误</w:t>
      </w:r>
      <w:r>
        <w:rPr>
          <w:rFonts w:hint="eastAsia" w:ascii="宋体" w:hAnsi="宋体" w:eastAsia="宋体" w:cs="仿宋_GB2312"/>
          <w:color w:val="auto"/>
          <w:sz w:val="24"/>
          <w:highlight w:val="none"/>
        </w:rPr>
        <w:t>的，该项计零分；</w:t>
      </w:r>
    </w:p>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7．评标委员会成员对单项评审因素评审应当在规定的区间内计分，评标委员会成员对各项因素（内容完整和编制水平除外）的评分不得低于招标文件规定该因素满分值的80%；评分低于满分值85%的或高于满分分值95%的，评标委员会成员应当在</w:t>
      </w:r>
      <w:r>
        <w:rPr>
          <w:rFonts w:ascii="宋体" w:hAnsi="宋体" w:eastAsia="宋体" w:cs="仿宋_GB2312"/>
          <w:color w:val="auto"/>
          <w:sz w:val="24"/>
          <w:highlight w:val="none"/>
        </w:rPr>
        <w:t>备注中</w:t>
      </w:r>
      <w:r>
        <w:rPr>
          <w:rFonts w:hint="eastAsia" w:ascii="宋体" w:hAnsi="宋体" w:eastAsia="宋体" w:cs="仿宋_GB2312"/>
          <w:color w:val="auto"/>
          <w:sz w:val="24"/>
          <w:highlight w:val="none"/>
        </w:rPr>
        <w:t>逐条注明详细理由和依据；</w:t>
      </w:r>
    </w:p>
    <w:p>
      <w:pPr>
        <w:spacing w:line="320" w:lineRule="exact"/>
        <w:jc w:val="left"/>
        <w:rPr>
          <w:rFonts w:hint="eastAsia" w:ascii="Calibri" w:hAnsi="Calibri" w:cs="宋体"/>
          <w:color w:val="auto"/>
          <w:szCs w:val="32"/>
          <w:highlight w:val="none"/>
        </w:rPr>
      </w:pPr>
      <w:r>
        <w:rPr>
          <w:rFonts w:hint="eastAsia" w:ascii="宋体" w:hAnsi="宋体" w:eastAsia="宋体" w:cs="仿宋_GB2312"/>
          <w:color w:val="auto"/>
          <w:sz w:val="24"/>
          <w:highlight w:val="none"/>
        </w:rPr>
        <w:t>8．由评标委员会独立评审计分，投标人的施工组织设计得分为去掉一个评审计分最高分和一个最低分后的算术平均值。</w:t>
      </w:r>
    </w:p>
    <w:p>
      <w:pPr>
        <w:widowControl/>
        <w:jc w:val="left"/>
        <w:rPr>
          <w:rFonts w:ascii="黑体" w:hAnsi="宋体" w:eastAsia="黑体" w:cs="仿宋_GB2312"/>
          <w:color w:val="auto"/>
          <w:kern w:val="0"/>
          <w:highlight w:val="none"/>
        </w:rPr>
        <w:sectPr>
          <w:pgSz w:w="16838" w:h="11906" w:orient="landscape"/>
          <w:pgMar w:top="1417" w:right="1418" w:bottom="1247" w:left="1418" w:header="720" w:footer="720" w:gutter="0"/>
          <w:cols w:space="720" w:num="1"/>
          <w:docGrid w:type="lines" w:linePitch="318" w:charSpace="0"/>
        </w:sectPr>
      </w:pPr>
    </w:p>
    <w:p>
      <w:pPr>
        <w:widowControl/>
        <w:shd w:val="clear" w:color="auto" w:fill="FFFFFF"/>
        <w:spacing w:line="480" w:lineRule="exact"/>
        <w:jc w:val="left"/>
        <w:rPr>
          <w:rFonts w:ascii="黑体" w:eastAsia="黑体" w:cs="仿宋_GB2312"/>
          <w:color w:val="auto"/>
          <w:kern w:val="0"/>
          <w:highlight w:val="none"/>
        </w:rPr>
      </w:pPr>
      <w:r>
        <w:rPr>
          <w:rFonts w:hint="eastAsia" w:ascii="黑体" w:eastAsia="黑体" w:cs="仿宋_GB2312"/>
          <w:color w:val="auto"/>
          <w:kern w:val="0"/>
          <w:highlight w:val="none"/>
        </w:rPr>
        <w:t>附件4-1</w:t>
      </w:r>
    </w:p>
    <w:p>
      <w:pPr>
        <w:widowControl/>
        <w:shd w:val="clear" w:color="auto" w:fill="FFFFFF"/>
        <w:spacing w:after="156"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业绩及信用评审计分表</w:t>
      </w:r>
    </w:p>
    <w:tbl>
      <w:tblPr>
        <w:tblStyle w:val="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09"/>
        <w:gridCol w:w="1134"/>
        <w:gridCol w:w="567"/>
        <w:gridCol w:w="1276"/>
        <w:gridCol w:w="2825"/>
        <w:gridCol w:w="882"/>
        <w:gridCol w:w="707"/>
        <w:gridCol w:w="708"/>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序号</w:t>
            </w:r>
          </w:p>
        </w:tc>
        <w:tc>
          <w:tcPr>
            <w:tcW w:w="1843" w:type="dxa"/>
            <w:gridSpan w:val="2"/>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评审因素</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最高       分值</w:t>
            </w:r>
          </w:p>
        </w:tc>
        <w:tc>
          <w:tcPr>
            <w:tcW w:w="41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评审标准</w:t>
            </w:r>
          </w:p>
        </w:tc>
        <w:tc>
          <w:tcPr>
            <w:tcW w:w="882" w:type="dxa"/>
            <w:vMerge w:val="restart"/>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选取</w:t>
            </w:r>
          </w:p>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方式</w:t>
            </w:r>
          </w:p>
        </w:tc>
        <w:tc>
          <w:tcPr>
            <w:tcW w:w="2126" w:type="dxa"/>
            <w:gridSpan w:val="3"/>
            <w:tcBorders>
              <w:top w:val="single" w:color="auto" w:sz="4" w:space="0"/>
              <w:left w:val="nil"/>
              <w:bottom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0" w:type="auto"/>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类别</w:t>
            </w:r>
          </w:p>
        </w:tc>
        <w:tc>
          <w:tcPr>
            <w:tcW w:w="28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数量和分值</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707"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计分制</w:t>
            </w:r>
          </w:p>
        </w:tc>
        <w:tc>
          <w:tcPr>
            <w:tcW w:w="708"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最低分</w:t>
            </w:r>
          </w:p>
        </w:tc>
        <w:tc>
          <w:tcPr>
            <w:tcW w:w="711"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w:t>
            </w:r>
          </w:p>
        </w:tc>
        <w:tc>
          <w:tcPr>
            <w:tcW w:w="709" w:type="dxa"/>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投标企业</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类似工程业绩</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业绩</w:t>
            </w:r>
          </w:p>
        </w:tc>
        <w:tc>
          <w:tcPr>
            <w:tcW w:w="28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施工业绩，每个3分。</w:t>
            </w:r>
          </w:p>
        </w:tc>
        <w:tc>
          <w:tcPr>
            <w:tcW w:w="882"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招标人根据项目特点确定是否纳入评审</w:t>
            </w:r>
          </w:p>
        </w:tc>
        <w:tc>
          <w:tcPr>
            <w:tcW w:w="707"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加分制</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2</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投标企业</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信用评价</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施工招投标信用评价</w:t>
            </w:r>
          </w:p>
        </w:tc>
        <w:tc>
          <w:tcPr>
            <w:tcW w:w="28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施工招标投标信用评价得分×30%</w:t>
            </w:r>
          </w:p>
        </w:tc>
        <w:tc>
          <w:tcPr>
            <w:tcW w:w="882"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必选项</w:t>
            </w:r>
          </w:p>
        </w:tc>
        <w:tc>
          <w:tcPr>
            <w:tcW w:w="707"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加分制</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项目管理机构</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项目经理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不良行为记录</w:t>
            </w:r>
          </w:p>
        </w:tc>
        <w:tc>
          <w:tcPr>
            <w:tcW w:w="28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严重不良行为记录每条扣</w:t>
            </w:r>
            <w:r>
              <w:rPr>
                <w:rFonts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rPr>
              <w:t>分；</w:t>
            </w:r>
          </w:p>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一般不良行为记录每条扣</w:t>
            </w:r>
            <w:r>
              <w:rPr>
                <w:rFonts w:ascii="宋体" w:hAnsi="宋体" w:eastAsia="宋体" w:cs="仿宋_GB2312"/>
                <w:color w:val="auto"/>
                <w:kern w:val="0"/>
                <w:sz w:val="24"/>
                <w:highlight w:val="none"/>
              </w:rPr>
              <w:t>1.2</w:t>
            </w:r>
            <w:r>
              <w:rPr>
                <w:rFonts w:hint="eastAsia" w:ascii="宋体" w:hAnsi="宋体" w:eastAsia="宋体" w:cs="仿宋_GB2312"/>
                <w:color w:val="auto"/>
                <w:kern w:val="0"/>
                <w:sz w:val="24"/>
                <w:highlight w:val="none"/>
              </w:rPr>
              <w:t>分；</w:t>
            </w:r>
          </w:p>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列入省公管办或省住建厅发布的黑名单扣</w:t>
            </w:r>
            <w:r>
              <w:rPr>
                <w:rFonts w:ascii="宋体" w:hAnsi="宋体" w:eastAsia="宋体" w:cs="仿宋_GB2312"/>
                <w:color w:val="auto"/>
                <w:kern w:val="0"/>
                <w:sz w:val="24"/>
                <w:highlight w:val="none"/>
              </w:rPr>
              <w:t>24</w:t>
            </w:r>
            <w:r>
              <w:rPr>
                <w:rFonts w:hint="eastAsia" w:ascii="宋体" w:hAnsi="宋体" w:eastAsia="宋体" w:cs="仿宋_GB2312"/>
                <w:color w:val="auto"/>
                <w:kern w:val="0"/>
                <w:sz w:val="24"/>
                <w:highlight w:val="none"/>
              </w:rPr>
              <w:t>分。</w:t>
            </w:r>
          </w:p>
        </w:tc>
        <w:tc>
          <w:tcPr>
            <w:tcW w:w="882"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必选项</w:t>
            </w:r>
          </w:p>
        </w:tc>
        <w:tc>
          <w:tcPr>
            <w:tcW w:w="707"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扣分制</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w:t>
            </w:r>
            <w:r>
              <w:rPr>
                <w:rFonts w:ascii="宋体" w:hAnsi="宋体" w:eastAsia="宋体" w:cs="仿宋_GB2312"/>
                <w:color w:val="auto"/>
                <w:kern w:val="0"/>
                <w:sz w:val="24"/>
                <w:highlight w:val="none"/>
              </w:rPr>
              <w:t>24</w:t>
            </w: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r>
    </w:tbl>
    <w:p>
      <w:pPr>
        <w:spacing w:line="320" w:lineRule="exact"/>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注：适用于经评审的最低投标价法。</w:t>
      </w:r>
    </w:p>
    <w:p>
      <w:pPr>
        <w:widowControl/>
        <w:shd w:val="clear" w:color="auto" w:fill="FFFFFF"/>
        <w:spacing w:line="480" w:lineRule="exact"/>
        <w:jc w:val="left"/>
        <w:rPr>
          <w:rFonts w:hint="eastAsia" w:ascii="仿宋_GB2312" w:hAnsi="Calibri" w:cs="宋体"/>
          <w:b/>
          <w:bCs/>
          <w:color w:val="auto"/>
          <w:kern w:val="0"/>
          <w:szCs w:val="32"/>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仿宋_GB2312"/>
          <w:b/>
          <w:bCs/>
          <w:color w:val="auto"/>
          <w:kern w:val="0"/>
          <w:highlight w:val="none"/>
        </w:rPr>
      </w:pPr>
    </w:p>
    <w:p>
      <w:pPr>
        <w:widowControl/>
        <w:shd w:val="clear" w:color="auto" w:fill="FFFFFF"/>
        <w:spacing w:line="480" w:lineRule="exact"/>
        <w:jc w:val="left"/>
        <w:rPr>
          <w:rFonts w:hint="eastAsia" w:ascii="仿宋_GB2312"/>
          <w:b/>
          <w:bCs/>
          <w:color w:val="auto"/>
          <w:kern w:val="0"/>
          <w:highlight w:val="none"/>
        </w:rPr>
      </w:pPr>
      <w:r>
        <w:rPr>
          <w:rFonts w:hint="eastAsia" w:ascii="仿宋_GB2312"/>
          <w:b/>
          <w:bCs/>
          <w:color w:val="auto"/>
          <w:kern w:val="0"/>
          <w:highlight w:val="none"/>
        </w:rPr>
        <w:t xml:space="preserve"> </w:t>
      </w:r>
    </w:p>
    <w:p>
      <w:pPr>
        <w:widowControl/>
        <w:shd w:val="clear" w:color="auto" w:fill="FFFFFF"/>
        <w:spacing w:line="480" w:lineRule="exact"/>
        <w:jc w:val="left"/>
        <w:rPr>
          <w:rFonts w:hint="eastAsia" w:ascii="黑体" w:eastAsia="黑体" w:cs="仿宋_GB2312"/>
          <w:color w:val="auto"/>
          <w:kern w:val="0"/>
          <w:highlight w:val="none"/>
        </w:rPr>
      </w:pPr>
      <w:r>
        <w:rPr>
          <w:rFonts w:hint="eastAsia" w:ascii="黑体" w:eastAsia="黑体" w:cs="仿宋_GB2312"/>
          <w:color w:val="auto"/>
          <w:kern w:val="0"/>
          <w:highlight w:val="none"/>
        </w:rPr>
        <w:t>附件4-2</w:t>
      </w:r>
    </w:p>
    <w:p>
      <w:pPr>
        <w:widowControl/>
        <w:shd w:val="clear" w:color="auto" w:fill="FFFFFF"/>
        <w:spacing w:after="156"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企业资信及履约能力评审计分表</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550"/>
        <w:gridCol w:w="929"/>
        <w:gridCol w:w="461"/>
        <w:gridCol w:w="880"/>
        <w:gridCol w:w="3584"/>
        <w:gridCol w:w="1504"/>
        <w:gridCol w:w="650"/>
        <w:gridCol w:w="69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9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评审因素</w:t>
            </w:r>
          </w:p>
        </w:tc>
        <w:tc>
          <w:tcPr>
            <w:tcW w:w="461" w:type="dxa"/>
            <w:vMerge w:val="restart"/>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最高       分值</w:t>
            </w:r>
          </w:p>
        </w:tc>
        <w:tc>
          <w:tcPr>
            <w:tcW w:w="446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评审标准</w:t>
            </w:r>
          </w:p>
        </w:tc>
        <w:tc>
          <w:tcPr>
            <w:tcW w:w="1504" w:type="dxa"/>
            <w:vMerge w:val="restart"/>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选取</w:t>
            </w:r>
          </w:p>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方式</w:t>
            </w:r>
          </w:p>
        </w:tc>
        <w:tc>
          <w:tcPr>
            <w:tcW w:w="2021" w:type="dxa"/>
            <w:gridSpan w:val="3"/>
            <w:tcBorders>
              <w:top w:val="single" w:color="auto" w:sz="4" w:space="0"/>
              <w:left w:val="nil"/>
              <w:bottom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9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46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88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类别</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数量和分值</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5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计分制</w:t>
            </w:r>
          </w:p>
        </w:tc>
        <w:tc>
          <w:tcPr>
            <w:tcW w:w="691"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最低分</w:t>
            </w:r>
          </w:p>
        </w:tc>
        <w:tc>
          <w:tcPr>
            <w:tcW w:w="68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41"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1</w:t>
            </w:r>
          </w:p>
        </w:tc>
        <w:tc>
          <w:tcPr>
            <w:tcW w:w="550" w:type="dxa"/>
            <w:vMerge w:val="restart"/>
            <w:tcBorders>
              <w:top w:val="nil"/>
              <w:left w:val="nil"/>
              <w:right w:val="single" w:color="auto" w:sz="4" w:space="0"/>
            </w:tcBorders>
            <w:noWrap w:val="0"/>
            <w:vAlign w:val="center"/>
          </w:tcPr>
          <w:p>
            <w:pPr>
              <w:widowControl/>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投标企业业</w:t>
            </w:r>
          </w:p>
        </w:tc>
        <w:tc>
          <w:tcPr>
            <w:tcW w:w="929" w:type="dxa"/>
            <w:vMerge w:val="restart"/>
            <w:tcBorders>
              <w:top w:val="nil"/>
              <w:left w:val="nil"/>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优良信息</w:t>
            </w:r>
          </w:p>
        </w:tc>
        <w:tc>
          <w:tcPr>
            <w:tcW w:w="461" w:type="dxa"/>
            <w:vMerge w:val="restart"/>
            <w:tcBorders>
              <w:top w:val="nil"/>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10</w:t>
            </w:r>
          </w:p>
        </w:tc>
        <w:tc>
          <w:tcPr>
            <w:tcW w:w="880"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奖项</w:t>
            </w:r>
          </w:p>
        </w:tc>
        <w:tc>
          <w:tcPr>
            <w:tcW w:w="3584"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鲁班奖，每个2.5分；</w:t>
            </w:r>
          </w:p>
          <w:p>
            <w:pPr>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国家优质工程奖，每个2.</w:t>
            </w:r>
            <w:r>
              <w:rPr>
                <w:rFonts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rPr>
              <w:t>分；</w:t>
            </w:r>
          </w:p>
        </w:tc>
        <w:tc>
          <w:tcPr>
            <w:tcW w:w="1504" w:type="dxa"/>
            <w:vMerge w:val="restart"/>
            <w:tcBorders>
              <w:top w:val="nil"/>
              <w:left w:val="nil"/>
              <w:right w:val="single" w:color="auto" w:sz="4" w:space="0"/>
            </w:tcBorders>
            <w:noWrap w:val="0"/>
            <w:vAlign w:val="center"/>
          </w:tcPr>
          <w:p>
            <w:pPr>
              <w:widowControl/>
              <w:ind w:left="-122" w:leftChars="-38" w:right="-154" w:rightChars="-48"/>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招标人根据项目规模及评标办法相关规定选择</w:t>
            </w:r>
          </w:p>
        </w:tc>
        <w:tc>
          <w:tcPr>
            <w:tcW w:w="650" w:type="dxa"/>
            <w:vMerge w:val="restart"/>
            <w:tcBorders>
              <w:top w:val="nil"/>
              <w:left w:val="nil"/>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加分制</w:t>
            </w:r>
          </w:p>
        </w:tc>
        <w:tc>
          <w:tcPr>
            <w:tcW w:w="691" w:type="dxa"/>
            <w:tcBorders>
              <w:top w:val="single" w:color="auto" w:sz="4" w:space="0"/>
              <w:left w:val="nil"/>
              <w:right w:val="single" w:color="auto" w:sz="4" w:space="0"/>
            </w:tcBorders>
            <w:noWrap w:val="0"/>
            <w:vAlign w:val="center"/>
          </w:tcPr>
          <w:p>
            <w:pPr>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0</w:t>
            </w:r>
          </w:p>
        </w:tc>
        <w:tc>
          <w:tcPr>
            <w:tcW w:w="680" w:type="dxa"/>
            <w:tcBorders>
              <w:top w:val="single" w:color="auto" w:sz="4" w:space="0"/>
              <w:left w:val="nil"/>
              <w:right w:val="single" w:color="auto" w:sz="4" w:space="0"/>
            </w:tcBorders>
            <w:noWrap w:val="0"/>
            <w:vAlign w:val="center"/>
          </w:tcPr>
          <w:p>
            <w:pPr>
              <w:jc w:val="center"/>
              <w:rPr>
                <w:rFonts w:hint="eastAsia" w:ascii="宋体" w:hAnsi="宋体" w:eastAsia="宋体" w:cs="仿宋_GB2312"/>
                <w:color w:val="auto"/>
                <w:kern w:val="0"/>
                <w:sz w:val="24"/>
                <w:highlight w:val="none"/>
              </w:rPr>
            </w:pPr>
            <w:r>
              <w:rPr>
                <w:rFonts w:ascii="宋体" w:hAnsi="宋体" w:eastAsia="宋体" w:cs="仿宋_GB2312"/>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441"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rPr>
                <w:rFonts w:hint="eastAsia" w:ascii="宋体" w:hAnsi="宋体" w:eastAsia="宋体" w:cs="仿宋_GB2312"/>
                <w:color w:val="auto"/>
                <w:kern w:val="0"/>
                <w:sz w:val="24"/>
                <w:highlight w:val="none"/>
              </w:rPr>
            </w:pPr>
          </w:p>
        </w:tc>
        <w:tc>
          <w:tcPr>
            <w:tcW w:w="929" w:type="dxa"/>
            <w:vMerge w:val="continue"/>
            <w:tcBorders>
              <w:left w:val="nil"/>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461"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880"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3584" w:type="dxa"/>
            <w:tcBorders>
              <w:left w:val="nil"/>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芙蓉奖，每个</w:t>
            </w:r>
            <w:r>
              <w:rPr>
                <w:rFonts w:ascii="宋体" w:hAnsi="宋体" w:eastAsia="宋体" w:cs="仿宋_GB2312"/>
                <w:color w:val="auto"/>
                <w:kern w:val="0"/>
                <w:sz w:val="24"/>
                <w:highlight w:val="none"/>
              </w:rPr>
              <w:t>2.0</w:t>
            </w:r>
            <w:r>
              <w:rPr>
                <w:rFonts w:hint="eastAsia" w:ascii="宋体" w:hAnsi="宋体" w:eastAsia="宋体" w:cs="仿宋_GB2312"/>
                <w:color w:val="auto"/>
                <w:kern w:val="0"/>
                <w:sz w:val="24"/>
                <w:highlight w:val="none"/>
              </w:rPr>
              <w:t>分；</w:t>
            </w:r>
          </w:p>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省优质工程奖，每个1</w:t>
            </w:r>
            <w:r>
              <w:rPr>
                <w:rFonts w:ascii="宋体" w:hAnsi="宋体" w:eastAsia="宋体" w:cs="仿宋_GB2312"/>
                <w:color w:val="auto"/>
                <w:kern w:val="0"/>
                <w:sz w:val="24"/>
                <w:highlight w:val="none"/>
              </w:rPr>
              <w:t>.5</w:t>
            </w:r>
            <w:r>
              <w:rPr>
                <w:rFonts w:hint="eastAsia" w:ascii="宋体" w:hAnsi="宋体" w:eastAsia="宋体" w:cs="仿宋_GB2312"/>
                <w:color w:val="auto"/>
                <w:kern w:val="0"/>
                <w:sz w:val="24"/>
                <w:highlight w:val="none"/>
              </w:rPr>
              <w:t>分；</w:t>
            </w:r>
          </w:p>
        </w:tc>
        <w:tc>
          <w:tcPr>
            <w:tcW w:w="1504" w:type="dxa"/>
            <w:vMerge w:val="continue"/>
            <w:tcBorders>
              <w:left w:val="nil"/>
              <w:right w:val="single" w:color="auto" w:sz="4" w:space="0"/>
            </w:tcBorders>
            <w:noWrap w:val="0"/>
            <w:vAlign w:val="center"/>
          </w:tcPr>
          <w:p>
            <w:pPr>
              <w:widowControl/>
              <w:ind w:left="-122" w:leftChars="-38" w:right="-154" w:rightChars="-48"/>
              <w:jc w:val="center"/>
              <w:rPr>
                <w:rFonts w:hint="eastAsia" w:ascii="宋体" w:hAnsi="宋体" w:eastAsia="宋体" w:cs="仿宋_GB2312"/>
                <w:color w:val="auto"/>
                <w:kern w:val="0"/>
                <w:sz w:val="24"/>
                <w:highlight w:val="none"/>
              </w:rPr>
            </w:pPr>
          </w:p>
        </w:tc>
        <w:tc>
          <w:tcPr>
            <w:tcW w:w="650" w:type="dxa"/>
            <w:vMerge w:val="continue"/>
            <w:tcBorders>
              <w:left w:val="nil"/>
              <w:right w:val="single" w:color="auto" w:sz="4" w:space="0"/>
            </w:tcBorders>
            <w:noWrap w:val="0"/>
            <w:vAlign w:val="center"/>
          </w:tcPr>
          <w:p>
            <w:pPr>
              <w:widowControl/>
              <w:ind w:left="-275" w:leftChars="-86" w:right="-205" w:rightChars="-64"/>
              <w:jc w:val="center"/>
              <w:rPr>
                <w:rFonts w:hint="eastAsia" w:ascii="宋体" w:hAnsi="宋体" w:eastAsia="宋体" w:cs="仿宋_GB2312"/>
                <w:color w:val="auto"/>
                <w:kern w:val="0"/>
                <w:sz w:val="24"/>
                <w:highlight w:val="none"/>
              </w:rPr>
            </w:pPr>
          </w:p>
        </w:tc>
        <w:tc>
          <w:tcPr>
            <w:tcW w:w="691" w:type="dxa"/>
            <w:tcBorders>
              <w:left w:val="nil"/>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left w:val="nil"/>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41" w:type="dxa"/>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929" w:type="dxa"/>
            <w:vMerge w:val="continue"/>
            <w:tcBorders>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p>
        </w:tc>
        <w:tc>
          <w:tcPr>
            <w:tcW w:w="461"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10</w:t>
            </w:r>
          </w:p>
        </w:tc>
        <w:tc>
          <w:tcPr>
            <w:tcW w:w="880" w:type="dxa"/>
            <w:vMerge w:val="restart"/>
            <w:tcBorders>
              <w:top w:val="single" w:color="auto" w:sz="4" w:space="0"/>
              <w:left w:val="nil"/>
              <w:right w:val="single" w:color="auto" w:sz="4" w:space="0"/>
            </w:tcBorders>
            <w:noWrap w:val="0"/>
            <w:vAlign w:val="center"/>
          </w:tcPr>
          <w:p>
            <w:pPr>
              <w:ind w:right="-122" w:rightChars="-38"/>
              <w:jc w:val="center"/>
              <w:rPr>
                <w:rFonts w:hint="default"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标准化工地</w:t>
            </w:r>
          </w:p>
        </w:tc>
        <w:tc>
          <w:tcPr>
            <w:tcW w:w="3584" w:type="dxa"/>
            <w:tcBorders>
              <w:top w:val="single" w:color="auto" w:sz="4" w:space="0"/>
              <w:left w:val="nil"/>
              <w:right w:val="single" w:color="auto" w:sz="4" w:space="0"/>
            </w:tcBorders>
            <w:noWrap w:val="0"/>
            <w:vAlign w:val="center"/>
          </w:tcPr>
          <w:p>
            <w:pPr>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国家建设工程项目施工工地安全生产标准化学习交流项目每个</w:t>
            </w:r>
            <w:r>
              <w:rPr>
                <w:rFonts w:ascii="宋体" w:hAnsi="宋体" w:eastAsia="宋体" w:cs="仿宋_GB2312"/>
                <w:color w:val="auto"/>
                <w:kern w:val="0"/>
                <w:sz w:val="24"/>
                <w:highlight w:val="none"/>
              </w:rPr>
              <w:t>1.5</w:t>
            </w:r>
            <w:r>
              <w:rPr>
                <w:rFonts w:hint="eastAsia" w:ascii="宋体" w:hAnsi="宋体" w:eastAsia="宋体" w:cs="仿宋_GB2312"/>
                <w:color w:val="auto"/>
                <w:kern w:val="0"/>
                <w:sz w:val="24"/>
                <w:highlight w:val="none"/>
              </w:rPr>
              <w:t>分；</w:t>
            </w:r>
          </w:p>
        </w:tc>
        <w:tc>
          <w:tcPr>
            <w:tcW w:w="0" w:type="auto"/>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91" w:type="dxa"/>
            <w:tcBorders>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1" w:type="dxa"/>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929"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46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880" w:type="dxa"/>
            <w:vMerge w:val="continue"/>
            <w:tcBorders>
              <w:left w:val="nil"/>
              <w:bottom w:val="single" w:color="auto" w:sz="4" w:space="0"/>
              <w:right w:val="single" w:color="auto" w:sz="4" w:space="0"/>
            </w:tcBorders>
            <w:noWrap w:val="0"/>
            <w:vAlign w:val="center"/>
          </w:tcPr>
          <w:p>
            <w:pPr>
              <w:ind w:right="-122" w:rightChars="-38"/>
              <w:jc w:val="center"/>
              <w:rPr>
                <w:rFonts w:ascii="宋体" w:hAnsi="宋体" w:eastAsia="宋体" w:cs="仿宋_GB2312"/>
                <w:color w:val="auto"/>
                <w:kern w:val="0"/>
                <w:sz w:val="24"/>
                <w:highlight w:val="none"/>
              </w:rPr>
            </w:pPr>
          </w:p>
        </w:tc>
        <w:tc>
          <w:tcPr>
            <w:tcW w:w="3584" w:type="dxa"/>
            <w:tcBorders>
              <w:left w:val="nil"/>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省建筑施工质量</w:t>
            </w:r>
            <w:r>
              <w:rPr>
                <w:rFonts w:ascii="宋体" w:hAnsi="宋体" w:eastAsia="宋体" w:cs="仿宋_GB2312"/>
                <w:color w:val="auto"/>
                <w:kern w:val="0"/>
                <w:sz w:val="24"/>
                <w:highlight w:val="none"/>
              </w:rPr>
              <w:t>和</w:t>
            </w:r>
            <w:r>
              <w:rPr>
                <w:rFonts w:hint="eastAsia" w:ascii="宋体" w:hAnsi="宋体" w:eastAsia="宋体" w:cs="仿宋_GB2312"/>
                <w:color w:val="auto"/>
                <w:kern w:val="0"/>
                <w:sz w:val="24"/>
                <w:highlight w:val="none"/>
              </w:rPr>
              <w:t>安全生产标准化年度考评优良工地，每个0.</w:t>
            </w:r>
            <w:r>
              <w:rPr>
                <w:rFonts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rPr>
              <w:t>分</w:t>
            </w:r>
          </w:p>
        </w:tc>
        <w:tc>
          <w:tcPr>
            <w:tcW w:w="0" w:type="auto"/>
            <w:vMerge w:val="continue"/>
            <w:tcBorders>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441" w:type="dxa"/>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929" w:type="dxa"/>
            <w:vMerge w:val="continue"/>
            <w:tcBorders>
              <w:left w:val="nil"/>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p>
        </w:tc>
        <w:tc>
          <w:tcPr>
            <w:tcW w:w="4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szCs w:val="24"/>
                <w:highlight w:val="none"/>
                <w:lang w:val="en-US" w:eastAsia="zh-CN" w:bidi="ar-SA"/>
              </w:rPr>
            </w:pPr>
            <w:r>
              <w:rPr>
                <w:rFonts w:ascii="宋体" w:hAnsi="宋体" w:eastAsia="宋体" w:cs="仿宋_GB2312"/>
                <w:color w:val="auto"/>
                <w:kern w:val="0"/>
                <w:sz w:val="24"/>
                <w:highlight w:val="none"/>
              </w:rPr>
              <w:t>2</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现场考评优良率</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企业现场考评优良率</w:t>
            </w:r>
            <w:r>
              <w:rPr>
                <w:rFonts w:ascii="宋体" w:hAnsi="宋体" w:eastAsia="宋体" w:cs="仿宋_GB2312"/>
                <w:color w:val="auto"/>
                <w:kern w:val="0"/>
                <w:sz w:val="24"/>
                <w:highlight w:val="none"/>
              </w:rPr>
              <w:t>*2</w:t>
            </w:r>
          </w:p>
        </w:tc>
        <w:tc>
          <w:tcPr>
            <w:tcW w:w="1504"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必选项</w:t>
            </w:r>
          </w:p>
        </w:tc>
        <w:tc>
          <w:tcPr>
            <w:tcW w:w="6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441" w:type="dxa"/>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92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4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lang w:val="en-US" w:eastAsia="zh-CN"/>
              </w:rPr>
              <w:t>2</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绿色</w:t>
            </w:r>
            <w:r>
              <w:rPr>
                <w:rFonts w:ascii="宋体" w:hAnsi="宋体" w:eastAsia="宋体" w:cs="仿宋_GB2312"/>
                <w:color w:val="auto"/>
                <w:kern w:val="0"/>
                <w:sz w:val="24"/>
                <w:highlight w:val="none"/>
              </w:rPr>
              <w:t>发展科技创新</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bCs/>
                <w:color w:val="auto"/>
                <w:sz w:val="24"/>
                <w:highlight w:val="none"/>
              </w:rPr>
              <w:t>绿色施工工程，</w:t>
            </w:r>
            <w:r>
              <w:rPr>
                <w:rFonts w:ascii="宋体" w:hAnsi="宋体" w:eastAsia="宋体" w:cs="仿宋_GB2312"/>
                <w:color w:val="auto"/>
                <w:kern w:val="0"/>
                <w:sz w:val="24"/>
                <w:highlight w:val="none"/>
              </w:rPr>
              <w:t>每个0.5</w:t>
            </w:r>
            <w:r>
              <w:rPr>
                <w:rFonts w:hint="eastAsia" w:ascii="宋体" w:hAnsi="宋体" w:eastAsia="宋体" w:cs="仿宋_GB2312"/>
                <w:color w:val="auto"/>
                <w:kern w:val="0"/>
                <w:sz w:val="24"/>
                <w:highlight w:val="none"/>
              </w:rPr>
              <w:t>分；</w:t>
            </w:r>
          </w:p>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省部级工程建设行业工法每项</w:t>
            </w:r>
            <w:r>
              <w:rPr>
                <w:rFonts w:ascii="宋体" w:hAnsi="宋体" w:eastAsia="宋体" w:cs="仿宋_GB2312"/>
                <w:color w:val="auto"/>
                <w:kern w:val="0"/>
                <w:sz w:val="24"/>
                <w:highlight w:val="none"/>
              </w:rPr>
              <w:t>0.5</w:t>
            </w:r>
            <w:r>
              <w:rPr>
                <w:rFonts w:hint="eastAsia" w:ascii="宋体" w:hAnsi="宋体" w:eastAsia="宋体" w:cs="仿宋_GB2312"/>
                <w:color w:val="auto"/>
                <w:kern w:val="0"/>
                <w:sz w:val="24"/>
                <w:highlight w:val="none"/>
              </w:rPr>
              <w:t>分</w:t>
            </w:r>
            <w:r>
              <w:rPr>
                <w:rFonts w:ascii="宋体" w:hAnsi="宋体" w:eastAsia="宋体" w:cs="仿宋_GB2312"/>
                <w:color w:val="auto"/>
                <w:kern w:val="0"/>
                <w:sz w:val="24"/>
                <w:highlight w:val="none"/>
              </w:rPr>
              <w:t>；</w:t>
            </w:r>
          </w:p>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省工程建设行业科技创新优质工程每个0.5分。</w:t>
            </w:r>
          </w:p>
        </w:tc>
        <w:tc>
          <w:tcPr>
            <w:tcW w:w="1504"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招标人根据</w:t>
            </w:r>
            <w:r>
              <w:rPr>
                <w:rFonts w:ascii="宋体" w:hAnsi="宋体" w:eastAsia="宋体" w:cs="仿宋_GB2312"/>
                <w:color w:val="auto"/>
                <w:kern w:val="0"/>
                <w:sz w:val="24"/>
                <w:highlight w:val="none"/>
              </w:rPr>
              <w:t>项目实际</w:t>
            </w:r>
            <w:r>
              <w:rPr>
                <w:rFonts w:hint="eastAsia" w:ascii="宋体" w:hAnsi="宋体" w:eastAsia="宋体" w:cs="仿宋_GB2312"/>
                <w:color w:val="auto"/>
                <w:kern w:val="0"/>
                <w:sz w:val="24"/>
                <w:highlight w:val="none"/>
              </w:rPr>
              <w:t>选择</w:t>
            </w:r>
          </w:p>
        </w:tc>
        <w:tc>
          <w:tcPr>
            <w:tcW w:w="650"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441" w:type="dxa"/>
            <w:vMerge w:val="continue"/>
            <w:tcBorders>
              <w:left w:val="single" w:color="auto" w:sz="4" w:space="0"/>
              <w:right w:val="single" w:color="auto" w:sz="4" w:space="0"/>
            </w:tcBorders>
            <w:noWrap w:val="0"/>
            <w:vAlign w:val="center"/>
          </w:tcPr>
          <w:p>
            <w:pPr>
              <w:jc w:val="center"/>
              <w:rPr>
                <w:rFonts w:ascii="宋体" w:hAnsi="宋体" w:eastAsia="宋体" w:cs="仿宋_GB2312"/>
                <w:color w:val="auto"/>
                <w:kern w:val="0"/>
                <w:sz w:val="24"/>
                <w:highlight w:val="none"/>
              </w:rPr>
            </w:pPr>
          </w:p>
        </w:tc>
        <w:tc>
          <w:tcPr>
            <w:tcW w:w="550" w:type="dxa"/>
            <w:vMerge w:val="continue"/>
            <w:tcBorders>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p>
        </w:tc>
        <w:tc>
          <w:tcPr>
            <w:tcW w:w="9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信用评价</w:t>
            </w:r>
          </w:p>
        </w:tc>
        <w:tc>
          <w:tcPr>
            <w:tcW w:w="4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4</w:t>
            </w:r>
            <w:r>
              <w:rPr>
                <w:rFonts w:hint="eastAsia" w:ascii="宋体" w:hAnsi="宋体" w:eastAsia="宋体" w:cs="仿宋_GB2312"/>
                <w:color w:val="auto"/>
                <w:kern w:val="0"/>
                <w:sz w:val="24"/>
                <w:highlight w:val="none"/>
              </w:rPr>
              <w:t>0</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施工招投标信用评价</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施工招标投标信用评价得分×</w:t>
            </w:r>
            <w:r>
              <w:rPr>
                <w:rFonts w:ascii="宋体" w:hAnsi="宋体" w:eastAsia="宋体" w:cs="仿宋_GB2312"/>
                <w:color w:val="auto"/>
                <w:kern w:val="0"/>
                <w:sz w:val="24"/>
                <w:highlight w:val="none"/>
              </w:rPr>
              <w:t>4</w:t>
            </w:r>
            <w:r>
              <w:rPr>
                <w:rFonts w:hint="eastAsia" w:ascii="宋体" w:hAnsi="宋体" w:eastAsia="宋体" w:cs="仿宋_GB2312"/>
                <w:color w:val="auto"/>
                <w:kern w:val="0"/>
                <w:sz w:val="24"/>
                <w:highlight w:val="none"/>
              </w:rPr>
              <w:t>0%</w:t>
            </w:r>
          </w:p>
        </w:tc>
        <w:tc>
          <w:tcPr>
            <w:tcW w:w="1504"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必选项</w:t>
            </w:r>
          </w:p>
        </w:tc>
        <w:tc>
          <w:tcPr>
            <w:tcW w:w="65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加分制</w:t>
            </w: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ascii="宋体" w:hAnsi="宋体" w:eastAsia="宋体" w:cs="仿宋_GB2312"/>
                <w:color w:val="auto"/>
                <w:kern w:val="0"/>
                <w:sz w:val="24"/>
                <w:highlight w:val="none"/>
              </w:rPr>
              <w:t>4</w:t>
            </w:r>
            <w:r>
              <w:rPr>
                <w:rFonts w:hint="eastAsia" w:ascii="宋体" w:hAnsi="宋体" w:eastAsia="宋体" w:cs="仿宋_GB2312"/>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4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550"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9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类似工程业绩</w:t>
            </w:r>
          </w:p>
        </w:tc>
        <w:tc>
          <w:tcPr>
            <w:tcW w:w="4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lang w:val="en-US" w:eastAsia="zh-CN"/>
              </w:rPr>
              <w:t>6</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业绩</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施工业绩，每个</w:t>
            </w:r>
            <w:r>
              <w:rPr>
                <w:rFonts w:hint="eastAsia" w:ascii="宋体" w:hAnsi="宋体" w:eastAsia="宋体" w:cs="仿宋_GB2312"/>
                <w:color w:val="auto"/>
                <w:kern w:val="0"/>
                <w:sz w:val="24"/>
                <w:highlight w:val="none"/>
                <w:lang w:val="en-US" w:eastAsia="zh-CN"/>
              </w:rPr>
              <w:t>3</w:t>
            </w:r>
            <w:r>
              <w:rPr>
                <w:rFonts w:hint="eastAsia" w:ascii="宋体" w:hAnsi="宋体" w:eastAsia="宋体" w:cs="仿宋_GB2312"/>
                <w:color w:val="auto"/>
                <w:kern w:val="0"/>
                <w:sz w:val="24"/>
                <w:highlight w:val="none"/>
              </w:rPr>
              <w:t>分。</w:t>
            </w:r>
          </w:p>
        </w:tc>
        <w:tc>
          <w:tcPr>
            <w:tcW w:w="1504" w:type="dxa"/>
            <w:tcBorders>
              <w:top w:val="single" w:color="auto" w:sz="4" w:space="0"/>
              <w:left w:val="nil"/>
              <w:bottom w:val="single" w:color="auto" w:sz="4" w:space="0"/>
              <w:right w:val="single" w:color="auto" w:sz="4" w:space="0"/>
            </w:tcBorders>
            <w:noWrap w:val="0"/>
            <w:vAlign w:val="center"/>
          </w:tcPr>
          <w:p>
            <w:pPr>
              <w:widowControl/>
              <w:ind w:left="-122" w:leftChars="-38" w:right="-154" w:rightChars="-48"/>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招标人</w:t>
            </w:r>
          </w:p>
          <w:p>
            <w:pPr>
              <w:widowControl/>
              <w:ind w:left="-122" w:leftChars="-38" w:right="-154" w:rightChars="-48"/>
              <w:jc w:val="center"/>
              <w:rPr>
                <w:rFonts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自行选择</w:t>
            </w:r>
          </w:p>
        </w:tc>
        <w:tc>
          <w:tcPr>
            <w:tcW w:w="65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加分制</w:t>
            </w: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0" w:type="auto"/>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2</w:t>
            </w:r>
          </w:p>
        </w:tc>
        <w:tc>
          <w:tcPr>
            <w:tcW w:w="1479" w:type="dxa"/>
            <w:gridSpan w:val="2"/>
            <w:vMerge w:val="restart"/>
            <w:tcBorders>
              <w:top w:val="nil"/>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项目经理</w:t>
            </w:r>
          </w:p>
        </w:tc>
        <w:tc>
          <w:tcPr>
            <w:tcW w:w="461" w:type="dxa"/>
            <w:vMerge w:val="restart"/>
            <w:tcBorders>
              <w:top w:val="single" w:color="auto" w:sz="4" w:space="0"/>
              <w:left w:val="nil"/>
              <w:right w:val="single" w:color="auto" w:sz="4" w:space="0"/>
            </w:tcBorders>
            <w:noWrap w:val="0"/>
            <w:vAlign w:val="center"/>
          </w:tcPr>
          <w:p>
            <w:pPr>
              <w:jc w:val="center"/>
              <w:rPr>
                <w:rFonts w:hint="default"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2</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业绩</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承担过类似业绩，每个</w:t>
            </w:r>
            <w:r>
              <w:rPr>
                <w:rFonts w:hint="eastAsia" w:ascii="宋体" w:hAnsi="宋体" w:eastAsia="宋体" w:cs="仿宋_GB2312"/>
                <w:color w:val="auto"/>
                <w:kern w:val="0"/>
                <w:sz w:val="24"/>
                <w:highlight w:val="none"/>
                <w:lang w:val="en-US" w:eastAsia="zh-CN"/>
              </w:rPr>
              <w:t>1</w:t>
            </w:r>
            <w:r>
              <w:rPr>
                <w:rFonts w:hint="eastAsia" w:ascii="宋体" w:hAnsi="宋体" w:eastAsia="宋体" w:cs="仿宋_GB2312"/>
                <w:color w:val="auto"/>
                <w:kern w:val="0"/>
                <w:sz w:val="24"/>
                <w:highlight w:val="none"/>
              </w:rPr>
              <w:t>分</w:t>
            </w:r>
          </w:p>
        </w:tc>
        <w:tc>
          <w:tcPr>
            <w:tcW w:w="0" w:type="auto"/>
            <w:vMerge w:val="restart"/>
            <w:tcBorders>
              <w:top w:val="nil"/>
              <w:left w:val="nil"/>
              <w:bottom w:val="single" w:color="auto" w:sz="4" w:space="0"/>
              <w:right w:val="single" w:color="auto" w:sz="4" w:space="0"/>
            </w:tcBorders>
            <w:noWrap w:val="0"/>
            <w:vAlign w:val="center"/>
          </w:tcPr>
          <w:p>
            <w:pPr>
              <w:widowControl/>
              <w:ind w:right="-173" w:rightChars="-54"/>
              <w:jc w:val="center"/>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招标人</w:t>
            </w:r>
          </w:p>
          <w:p>
            <w:pPr>
              <w:widowControl/>
              <w:ind w:right="-173" w:rightChars="-54"/>
              <w:jc w:val="center"/>
              <w:rPr>
                <w:rFonts w:hint="default"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自行选择</w:t>
            </w:r>
          </w:p>
        </w:tc>
        <w:tc>
          <w:tcPr>
            <w:tcW w:w="0" w:type="auto"/>
            <w:vMerge w:val="restart"/>
            <w:tcBorders>
              <w:top w:val="nil"/>
              <w:left w:val="nil"/>
              <w:bottom w:val="single" w:color="auto" w:sz="4" w:space="0"/>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highlight w:val="none"/>
              </w:rPr>
              <w:t>加分制</w:t>
            </w: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0" w:type="auto"/>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1479" w:type="dxa"/>
            <w:gridSpan w:val="2"/>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46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奖项</w:t>
            </w: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国家</w:t>
            </w:r>
            <w:r>
              <w:rPr>
                <w:rFonts w:hint="eastAsia" w:ascii="宋体" w:hAnsi="宋体" w:eastAsia="宋体" w:cs="仿宋_GB2312"/>
                <w:color w:val="auto"/>
                <w:kern w:val="0"/>
                <w:sz w:val="24"/>
                <w:highlight w:val="none"/>
                <w:lang w:val="en-US" w:eastAsia="zh-CN"/>
              </w:rPr>
              <w:t>级</w:t>
            </w:r>
            <w:r>
              <w:rPr>
                <w:rFonts w:hint="eastAsia" w:ascii="宋体" w:hAnsi="宋体" w:eastAsia="宋体" w:cs="仿宋_GB2312"/>
                <w:color w:val="auto"/>
                <w:kern w:val="0"/>
                <w:sz w:val="24"/>
                <w:highlight w:val="none"/>
                <w:lang w:eastAsia="zh-CN"/>
              </w:rPr>
              <w:t>、</w:t>
            </w:r>
            <w:r>
              <w:rPr>
                <w:rFonts w:hint="eastAsia" w:ascii="宋体" w:hAnsi="宋体" w:eastAsia="宋体" w:cs="仿宋_GB2312"/>
                <w:color w:val="auto"/>
                <w:kern w:val="0"/>
                <w:sz w:val="24"/>
                <w:highlight w:val="none"/>
              </w:rPr>
              <w:t>省级每个1分</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0" w:type="auto"/>
            <w:vMerge w:val="continue"/>
            <w:tcBorders>
              <w:left w:val="single" w:color="auto" w:sz="4" w:space="0"/>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1479" w:type="dxa"/>
            <w:gridSpan w:val="2"/>
            <w:vMerge w:val="continue"/>
            <w:tcBorders>
              <w:left w:val="nil"/>
              <w:right w:val="single" w:color="auto" w:sz="4" w:space="0"/>
            </w:tcBorders>
            <w:noWrap w:val="0"/>
            <w:vAlign w:val="center"/>
          </w:tcPr>
          <w:p>
            <w:pPr>
              <w:widowControl/>
              <w:jc w:val="left"/>
              <w:rPr>
                <w:rFonts w:ascii="宋体" w:hAnsi="宋体" w:eastAsia="宋体" w:cs="仿宋_GB2312"/>
                <w:color w:val="auto"/>
                <w:kern w:val="0"/>
                <w:sz w:val="24"/>
                <w:highlight w:val="none"/>
              </w:rPr>
            </w:pPr>
          </w:p>
        </w:tc>
        <w:tc>
          <w:tcPr>
            <w:tcW w:w="461"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c>
          <w:tcPr>
            <w:tcW w:w="880"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不良行为记录</w:t>
            </w:r>
          </w:p>
        </w:tc>
        <w:tc>
          <w:tcPr>
            <w:tcW w:w="3584"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严重不良行为记录每条扣</w:t>
            </w:r>
            <w:r>
              <w:rPr>
                <w:rFonts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rPr>
              <w:t>分；</w:t>
            </w:r>
          </w:p>
          <w:p>
            <w:pPr>
              <w:widowControl/>
              <w:jc w:val="center"/>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一般不良行为记录每条扣</w:t>
            </w:r>
            <w:r>
              <w:rPr>
                <w:rFonts w:ascii="宋体" w:hAnsi="宋体" w:eastAsia="宋体" w:cs="仿宋_GB2312"/>
                <w:color w:val="auto"/>
                <w:kern w:val="0"/>
                <w:sz w:val="24"/>
                <w:highlight w:val="none"/>
              </w:rPr>
              <w:t>1.2</w:t>
            </w:r>
            <w:r>
              <w:rPr>
                <w:rFonts w:hint="eastAsia" w:ascii="宋体" w:hAnsi="宋体" w:eastAsia="宋体" w:cs="仿宋_GB2312"/>
                <w:color w:val="auto"/>
                <w:kern w:val="0"/>
                <w:sz w:val="24"/>
                <w:highlight w:val="none"/>
              </w:rPr>
              <w:t>分。</w:t>
            </w:r>
          </w:p>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列入省公管办或省住建厅发布的黑名单扣</w:t>
            </w:r>
            <w:r>
              <w:rPr>
                <w:rFonts w:ascii="宋体" w:hAnsi="宋体" w:eastAsia="宋体" w:cs="仿宋_GB2312"/>
                <w:color w:val="auto"/>
                <w:kern w:val="0"/>
                <w:sz w:val="24"/>
                <w:highlight w:val="none"/>
              </w:rPr>
              <w:t>24</w:t>
            </w:r>
            <w:r>
              <w:rPr>
                <w:rFonts w:hint="eastAsia" w:ascii="宋体" w:hAnsi="宋体" w:eastAsia="宋体" w:cs="仿宋_GB2312"/>
                <w:color w:val="auto"/>
                <w:kern w:val="0"/>
                <w:sz w:val="24"/>
                <w:highlight w:val="none"/>
              </w:rPr>
              <w:t>分。</w:t>
            </w:r>
          </w:p>
        </w:tc>
        <w:tc>
          <w:tcPr>
            <w:tcW w:w="1504" w:type="dxa"/>
            <w:tcBorders>
              <w:top w:val="single" w:color="auto" w:sz="4" w:space="0"/>
              <w:left w:val="nil"/>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必选项</w:t>
            </w:r>
          </w:p>
        </w:tc>
        <w:tc>
          <w:tcPr>
            <w:tcW w:w="650" w:type="dxa"/>
            <w:tcBorders>
              <w:top w:val="single" w:color="auto" w:sz="4" w:space="0"/>
              <w:left w:val="nil"/>
              <w:right w:val="single" w:color="auto" w:sz="4" w:space="0"/>
            </w:tcBorders>
            <w:noWrap w:val="0"/>
            <w:vAlign w:val="center"/>
          </w:tcPr>
          <w:p>
            <w:pPr>
              <w:widowControl/>
              <w:ind w:left="-275" w:leftChars="-86" w:right="-205" w:rightChars="-64"/>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扣分制</w:t>
            </w:r>
          </w:p>
        </w:tc>
        <w:tc>
          <w:tcPr>
            <w:tcW w:w="691"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w:t>
            </w:r>
            <w:r>
              <w:rPr>
                <w:rFonts w:ascii="宋体" w:hAnsi="宋体" w:eastAsia="宋体" w:cs="仿宋_GB2312"/>
                <w:color w:val="auto"/>
                <w:kern w:val="0"/>
                <w:sz w:val="24"/>
                <w:highlight w:val="none"/>
              </w:rPr>
              <w:t>24</w:t>
            </w:r>
          </w:p>
        </w:tc>
        <w:tc>
          <w:tcPr>
            <w:tcW w:w="680" w:type="dxa"/>
            <w:tcBorders>
              <w:top w:val="single" w:color="auto" w:sz="4" w:space="0"/>
              <w:left w:val="nil"/>
              <w:right w:val="single" w:color="auto" w:sz="4" w:space="0"/>
            </w:tcBorders>
            <w:noWrap w:val="0"/>
            <w:vAlign w:val="center"/>
          </w:tcPr>
          <w:p>
            <w:pPr>
              <w:widowControl/>
              <w:jc w:val="cente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3</w:t>
            </w:r>
          </w:p>
        </w:tc>
        <w:tc>
          <w:tcPr>
            <w:tcW w:w="1479"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基础</w:t>
            </w:r>
            <w:r>
              <w:rPr>
                <w:rFonts w:ascii="宋体" w:hAnsi="宋体" w:eastAsia="宋体" w:cs="仿宋_GB2312"/>
                <w:color w:val="auto"/>
                <w:kern w:val="0"/>
                <w:sz w:val="24"/>
                <w:highlight w:val="none"/>
              </w:rPr>
              <w:t>分</w:t>
            </w:r>
          </w:p>
        </w:tc>
        <w:tc>
          <w:tcPr>
            <w:tcW w:w="46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28</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35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1504"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hint="eastAsia" w:ascii="宋体" w:hAnsi="宋体" w:eastAsia="宋体" w:cs="仿宋_GB2312"/>
                <w:color w:val="auto"/>
                <w:kern w:val="0"/>
                <w:sz w:val="24"/>
                <w:highlight w:val="none"/>
              </w:rPr>
            </w:pPr>
          </w:p>
        </w:tc>
        <w:tc>
          <w:tcPr>
            <w:tcW w:w="650" w:type="dxa"/>
            <w:tcBorders>
              <w:top w:val="single" w:color="auto" w:sz="4" w:space="0"/>
              <w:left w:val="nil"/>
              <w:bottom w:val="single" w:color="auto" w:sz="4" w:space="0"/>
              <w:right w:val="single" w:color="auto" w:sz="4" w:space="0"/>
            </w:tcBorders>
            <w:noWrap w:val="0"/>
            <w:vAlign w:val="center"/>
          </w:tcPr>
          <w:p>
            <w:pPr>
              <w:widowControl/>
              <w:ind w:left="-275" w:leftChars="-86" w:right="-205" w:rightChars="-64"/>
              <w:jc w:val="center"/>
              <w:rPr>
                <w:rFonts w:hint="eastAsia" w:ascii="宋体" w:hAnsi="宋体" w:eastAsia="宋体" w:cs="仿宋_GB2312"/>
                <w:color w:val="auto"/>
                <w:kern w:val="0"/>
                <w:sz w:val="24"/>
                <w:highlight w:val="none"/>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仿宋_GB2312"/>
                <w:color w:val="auto"/>
                <w:kern w:val="0"/>
                <w:sz w:val="24"/>
                <w:highlight w:val="none"/>
              </w:rPr>
            </w:pP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仿宋_GB2312"/>
                <w:color w:val="auto"/>
                <w:kern w:val="0"/>
                <w:sz w:val="24"/>
                <w:highlight w:val="none"/>
                <w:lang w:val="en-US"/>
              </w:rPr>
            </w:pPr>
            <w:r>
              <w:rPr>
                <w:rFonts w:hint="eastAsia" w:ascii="宋体" w:hAnsi="宋体" w:eastAsia="宋体" w:cs="仿宋_GB2312"/>
                <w:color w:val="auto"/>
                <w:kern w:val="0"/>
                <w:sz w:val="24"/>
                <w:highlight w:val="none"/>
                <w:lang w:val="en-US" w:eastAsia="zh-CN"/>
              </w:rPr>
              <w:t>28</w:t>
            </w:r>
          </w:p>
        </w:tc>
      </w:tr>
    </w:tbl>
    <w:p>
      <w:pPr>
        <w:spacing w:line="336"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注：适用于</w:t>
      </w:r>
      <w:r>
        <w:rPr>
          <w:rFonts w:ascii="宋体" w:hAnsi="宋体" w:eastAsia="宋体" w:cs="仿宋_GB2312"/>
          <w:color w:val="auto"/>
          <w:sz w:val="24"/>
          <w:highlight w:val="none"/>
        </w:rPr>
        <w:t>综合评估法。</w:t>
      </w:r>
    </w:p>
    <w:p>
      <w:pPr>
        <w:spacing w:line="336"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1．奖项和标准化工地：</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1.1  最高投标限价≥20000万元的施工总承包项目、最高投标限价≥3000万元的施工专业承包项目，应当将奖项和标准化工地全部列入评审计分范围，评审</w:t>
      </w:r>
      <w:r>
        <w:rPr>
          <w:rFonts w:ascii="宋体" w:hAnsi="宋体" w:eastAsia="宋体" w:cs="仿宋_GB2312"/>
          <w:color w:val="auto"/>
          <w:sz w:val="24"/>
          <w:highlight w:val="none"/>
        </w:rPr>
        <w:t>数量</w:t>
      </w:r>
      <w:r>
        <w:rPr>
          <w:rFonts w:hint="eastAsia" w:ascii="宋体" w:hAnsi="宋体" w:eastAsia="宋体" w:cs="仿宋_GB2312"/>
          <w:color w:val="auto"/>
          <w:sz w:val="24"/>
          <w:highlight w:val="none"/>
        </w:rPr>
        <w:t>可由</w:t>
      </w:r>
      <w:r>
        <w:rPr>
          <w:rFonts w:ascii="宋体" w:hAnsi="宋体" w:eastAsia="宋体" w:cs="仿宋_GB2312"/>
          <w:color w:val="auto"/>
          <w:sz w:val="24"/>
          <w:highlight w:val="none"/>
        </w:rPr>
        <w:t>招标人根据项目实际</w:t>
      </w:r>
      <w:r>
        <w:rPr>
          <w:rFonts w:hint="eastAsia" w:ascii="宋体" w:hAnsi="宋体" w:eastAsia="宋体" w:cs="仿宋_GB2312"/>
          <w:color w:val="auto"/>
          <w:sz w:val="24"/>
          <w:highlight w:val="none"/>
        </w:rPr>
        <w:t>在</w:t>
      </w:r>
      <w:r>
        <w:rPr>
          <w:rFonts w:ascii="宋体" w:hAnsi="宋体" w:eastAsia="宋体" w:cs="仿宋_GB2312"/>
          <w:color w:val="auto"/>
          <w:sz w:val="24"/>
          <w:highlight w:val="none"/>
        </w:rPr>
        <w:t>以下区间</w:t>
      </w:r>
      <w:r>
        <w:rPr>
          <w:rFonts w:hint="eastAsia" w:ascii="宋体" w:hAnsi="宋体" w:eastAsia="宋体" w:cs="仿宋_GB2312"/>
          <w:color w:val="auto"/>
          <w:sz w:val="24"/>
          <w:highlight w:val="none"/>
        </w:rPr>
        <w:t>进行</w:t>
      </w:r>
      <w:r>
        <w:rPr>
          <w:rFonts w:ascii="宋体" w:hAnsi="宋体" w:eastAsia="宋体" w:cs="仿宋_GB2312"/>
          <w:color w:val="auto"/>
          <w:sz w:val="24"/>
          <w:highlight w:val="none"/>
        </w:rPr>
        <w:t>选择</w:t>
      </w:r>
      <w:r>
        <w:rPr>
          <w:rFonts w:hint="eastAsia" w:ascii="宋体" w:hAnsi="宋体" w:eastAsia="宋体" w:cs="仿宋_GB2312"/>
          <w:color w:val="auto"/>
          <w:sz w:val="24"/>
          <w:highlight w:val="none"/>
        </w:rPr>
        <w:t>：国家级、</w:t>
      </w:r>
      <w:r>
        <w:rPr>
          <w:rFonts w:ascii="宋体" w:hAnsi="宋体" w:eastAsia="宋体" w:cs="仿宋_GB2312"/>
          <w:color w:val="auto"/>
          <w:sz w:val="24"/>
          <w:highlight w:val="none"/>
        </w:rPr>
        <w:t>省级</w:t>
      </w:r>
      <w:r>
        <w:rPr>
          <w:rFonts w:hint="eastAsia" w:ascii="宋体" w:hAnsi="宋体" w:eastAsia="宋体" w:cs="仿宋_GB2312"/>
          <w:color w:val="auto"/>
          <w:sz w:val="24"/>
          <w:highlight w:val="none"/>
        </w:rPr>
        <w:t>奖项</w:t>
      </w:r>
      <w:r>
        <w:rPr>
          <w:rFonts w:hint="eastAsia" w:ascii="宋体" w:hAnsi="宋体" w:eastAsia="宋体" w:cs="仿宋_GB2312"/>
          <w:color w:val="auto"/>
          <w:sz w:val="24"/>
          <w:highlight w:val="none"/>
          <w:lang w:val="en-US" w:eastAsia="zh-CN"/>
        </w:rPr>
        <w:t>分别</w:t>
      </w: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个，</w:t>
      </w:r>
      <w:r>
        <w:rPr>
          <w:rFonts w:ascii="宋体" w:hAnsi="宋体" w:eastAsia="宋体" w:cs="仿宋_GB2312"/>
          <w:color w:val="auto"/>
          <w:sz w:val="24"/>
          <w:highlight w:val="none"/>
        </w:rPr>
        <w:t>国家级标准化工地</w:t>
      </w: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-2</w:t>
      </w:r>
      <w:r>
        <w:rPr>
          <w:rFonts w:hint="eastAsia" w:ascii="宋体" w:hAnsi="宋体" w:eastAsia="宋体" w:cs="仿宋_GB2312"/>
          <w:color w:val="auto"/>
          <w:sz w:val="24"/>
          <w:highlight w:val="none"/>
        </w:rPr>
        <w:t>个，省级标准化工地1</w:t>
      </w:r>
      <w:r>
        <w:rPr>
          <w:rFonts w:ascii="宋体" w:hAnsi="宋体" w:eastAsia="宋体" w:cs="仿宋_GB2312"/>
          <w:color w:val="auto"/>
          <w:sz w:val="24"/>
          <w:highlight w:val="none"/>
        </w:rPr>
        <w:t>0-35</w:t>
      </w:r>
      <w:r>
        <w:rPr>
          <w:rFonts w:hint="eastAsia" w:ascii="宋体" w:hAnsi="宋体" w:eastAsia="宋体" w:cs="仿宋_GB2312"/>
          <w:color w:val="auto"/>
          <w:sz w:val="24"/>
          <w:highlight w:val="none"/>
        </w:rPr>
        <w:t>个；</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1.2  5000万元≤最高投标限价＜20000万元的施工总承包项目、1500万元≤最高投标限价＜3000万元的施工专业承包项目，可以将奖项和标准化工地列入评审计分范围。评审</w:t>
      </w:r>
      <w:r>
        <w:rPr>
          <w:rFonts w:ascii="宋体" w:hAnsi="宋体" w:eastAsia="宋体" w:cs="仿宋_GB2312"/>
          <w:color w:val="auto"/>
          <w:sz w:val="24"/>
          <w:highlight w:val="none"/>
        </w:rPr>
        <w:t>数量</w:t>
      </w:r>
      <w:r>
        <w:rPr>
          <w:rFonts w:hint="eastAsia" w:ascii="宋体" w:hAnsi="宋体" w:eastAsia="宋体" w:cs="仿宋_GB2312"/>
          <w:color w:val="auto"/>
          <w:sz w:val="24"/>
          <w:highlight w:val="none"/>
        </w:rPr>
        <w:t>可由</w:t>
      </w:r>
      <w:r>
        <w:rPr>
          <w:rFonts w:ascii="宋体" w:hAnsi="宋体" w:eastAsia="宋体" w:cs="仿宋_GB2312"/>
          <w:color w:val="auto"/>
          <w:sz w:val="24"/>
          <w:highlight w:val="none"/>
        </w:rPr>
        <w:t>招标人根据项目实际</w:t>
      </w:r>
      <w:r>
        <w:rPr>
          <w:rFonts w:hint="eastAsia" w:ascii="宋体" w:hAnsi="宋体" w:eastAsia="宋体" w:cs="仿宋_GB2312"/>
          <w:color w:val="auto"/>
          <w:sz w:val="24"/>
          <w:highlight w:val="none"/>
        </w:rPr>
        <w:t>在</w:t>
      </w:r>
      <w:r>
        <w:rPr>
          <w:rFonts w:ascii="宋体" w:hAnsi="宋体" w:eastAsia="宋体" w:cs="仿宋_GB2312"/>
          <w:color w:val="auto"/>
          <w:sz w:val="24"/>
          <w:highlight w:val="none"/>
        </w:rPr>
        <w:t>以下区间</w:t>
      </w:r>
      <w:r>
        <w:rPr>
          <w:rFonts w:hint="eastAsia" w:ascii="宋体" w:hAnsi="宋体" w:eastAsia="宋体" w:cs="仿宋_GB2312"/>
          <w:color w:val="auto"/>
          <w:sz w:val="24"/>
          <w:highlight w:val="none"/>
        </w:rPr>
        <w:t>进行</w:t>
      </w:r>
      <w:r>
        <w:rPr>
          <w:rFonts w:ascii="宋体" w:hAnsi="宋体" w:eastAsia="宋体" w:cs="仿宋_GB2312"/>
          <w:color w:val="auto"/>
          <w:sz w:val="24"/>
          <w:highlight w:val="none"/>
        </w:rPr>
        <w:t>选择</w:t>
      </w:r>
      <w:r>
        <w:rPr>
          <w:rFonts w:hint="eastAsia" w:ascii="宋体" w:hAnsi="宋体" w:eastAsia="宋体" w:cs="仿宋_GB2312"/>
          <w:color w:val="auto"/>
          <w:sz w:val="24"/>
          <w:highlight w:val="none"/>
        </w:rPr>
        <w:t>：国家级、</w:t>
      </w:r>
      <w:r>
        <w:rPr>
          <w:rFonts w:ascii="宋体" w:hAnsi="宋体" w:eastAsia="宋体" w:cs="仿宋_GB2312"/>
          <w:color w:val="auto"/>
          <w:sz w:val="24"/>
          <w:highlight w:val="none"/>
        </w:rPr>
        <w:t>省级</w:t>
      </w:r>
      <w:r>
        <w:rPr>
          <w:rFonts w:hint="eastAsia" w:ascii="宋体" w:hAnsi="宋体" w:eastAsia="宋体" w:cs="仿宋_GB2312"/>
          <w:color w:val="auto"/>
          <w:sz w:val="24"/>
          <w:highlight w:val="none"/>
        </w:rPr>
        <w:t>奖项</w:t>
      </w:r>
      <w:r>
        <w:rPr>
          <w:rFonts w:hint="eastAsia" w:ascii="宋体" w:hAnsi="宋体" w:eastAsia="宋体" w:cs="仿宋_GB2312"/>
          <w:color w:val="auto"/>
          <w:sz w:val="24"/>
          <w:highlight w:val="none"/>
          <w:lang w:val="en-US" w:eastAsia="zh-CN"/>
        </w:rPr>
        <w:t>分别</w:t>
      </w:r>
      <w:r>
        <w:rPr>
          <w:rFonts w:ascii="宋体" w:hAnsi="宋体" w:eastAsia="宋体" w:cs="仿宋_GB2312"/>
          <w:color w:val="auto"/>
          <w:sz w:val="24"/>
          <w:highlight w:val="none"/>
        </w:rPr>
        <w:t>0-2</w:t>
      </w:r>
      <w:r>
        <w:rPr>
          <w:rFonts w:hint="eastAsia" w:ascii="宋体" w:hAnsi="宋体" w:eastAsia="宋体" w:cs="仿宋_GB2312"/>
          <w:color w:val="auto"/>
          <w:sz w:val="24"/>
          <w:highlight w:val="none"/>
        </w:rPr>
        <w:t>个，</w:t>
      </w:r>
      <w:r>
        <w:rPr>
          <w:rFonts w:ascii="宋体" w:hAnsi="宋体" w:eastAsia="宋体" w:cs="仿宋_GB2312"/>
          <w:color w:val="auto"/>
          <w:sz w:val="24"/>
          <w:highlight w:val="none"/>
        </w:rPr>
        <w:t>国家级标准化工地0-2</w:t>
      </w:r>
      <w:r>
        <w:rPr>
          <w:rFonts w:hint="eastAsia" w:ascii="宋体" w:hAnsi="宋体" w:eastAsia="宋体" w:cs="仿宋_GB2312"/>
          <w:color w:val="auto"/>
          <w:sz w:val="24"/>
          <w:highlight w:val="none"/>
        </w:rPr>
        <w:t>个，省级标准化工地</w:t>
      </w:r>
      <w:r>
        <w:rPr>
          <w:rFonts w:hint="eastAsia" w:ascii="宋体" w:hAnsi="宋体" w:eastAsia="宋体" w:cs="仿宋_GB2312"/>
          <w:color w:val="auto"/>
          <w:sz w:val="24"/>
          <w:highlight w:val="none"/>
          <w:lang w:val="en-US" w:eastAsia="zh-CN"/>
        </w:rPr>
        <w:t>0</w:t>
      </w:r>
      <w:r>
        <w:rPr>
          <w:rFonts w:ascii="宋体" w:hAnsi="宋体" w:eastAsia="宋体" w:cs="仿宋_GB2312"/>
          <w:color w:val="auto"/>
          <w:sz w:val="24"/>
          <w:highlight w:val="none"/>
        </w:rPr>
        <w:t>-20</w:t>
      </w:r>
      <w:r>
        <w:rPr>
          <w:rFonts w:hint="eastAsia" w:ascii="宋体" w:hAnsi="宋体" w:eastAsia="宋体" w:cs="仿宋_GB2312"/>
          <w:color w:val="auto"/>
          <w:sz w:val="24"/>
          <w:highlight w:val="none"/>
        </w:rPr>
        <w:t>个；</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1.3  最高投标限价＜5000万元的施工总承包项目、最高投标限价＜1500万元的施工专业承包项目，奖项</w:t>
      </w:r>
      <w:r>
        <w:rPr>
          <w:rFonts w:ascii="宋体" w:hAnsi="宋体" w:eastAsia="宋体" w:cs="仿宋_GB2312"/>
          <w:color w:val="auto"/>
          <w:sz w:val="24"/>
          <w:highlight w:val="none"/>
        </w:rPr>
        <w:t>及国家级标准化</w:t>
      </w:r>
      <w:r>
        <w:rPr>
          <w:rFonts w:hint="eastAsia" w:ascii="宋体" w:hAnsi="宋体" w:eastAsia="宋体" w:cs="仿宋_GB2312"/>
          <w:color w:val="auto"/>
          <w:sz w:val="24"/>
          <w:highlight w:val="none"/>
        </w:rPr>
        <w:t>工地</w:t>
      </w:r>
      <w:r>
        <w:rPr>
          <w:rFonts w:ascii="宋体" w:hAnsi="宋体" w:eastAsia="宋体" w:cs="仿宋_GB2312"/>
          <w:color w:val="auto"/>
          <w:sz w:val="24"/>
          <w:highlight w:val="none"/>
        </w:rPr>
        <w:t>不列入评审计分</w:t>
      </w:r>
      <w:r>
        <w:rPr>
          <w:rFonts w:hint="eastAsia" w:ascii="宋体" w:hAnsi="宋体" w:eastAsia="宋体" w:cs="仿宋_GB2312"/>
          <w:color w:val="auto"/>
          <w:sz w:val="24"/>
          <w:highlight w:val="none"/>
        </w:rPr>
        <w:t>范围</w:t>
      </w:r>
      <w:r>
        <w:rPr>
          <w:rFonts w:ascii="宋体" w:hAnsi="宋体" w:eastAsia="宋体" w:cs="仿宋_GB2312"/>
          <w:color w:val="auto"/>
          <w:sz w:val="24"/>
          <w:highlight w:val="none"/>
        </w:rPr>
        <w:t>，省级</w:t>
      </w:r>
      <w:r>
        <w:rPr>
          <w:rFonts w:hint="eastAsia" w:ascii="宋体" w:hAnsi="宋体" w:eastAsia="宋体" w:cs="仿宋_GB2312"/>
          <w:color w:val="auto"/>
          <w:sz w:val="24"/>
          <w:highlight w:val="none"/>
        </w:rPr>
        <w:t>标准化工地可以列入评审计分范围，其数量</w:t>
      </w:r>
      <w:r>
        <w:rPr>
          <w:rFonts w:ascii="宋体" w:hAnsi="宋体" w:eastAsia="宋体" w:cs="仿宋_GB2312"/>
          <w:color w:val="auto"/>
          <w:sz w:val="24"/>
          <w:highlight w:val="none"/>
        </w:rPr>
        <w:t>为</w:t>
      </w:r>
      <w:r>
        <w:rPr>
          <w:rFonts w:hint="eastAsia" w:ascii="宋体" w:hAnsi="宋体" w:eastAsia="宋体" w:cs="仿宋_GB2312"/>
          <w:color w:val="auto"/>
          <w:sz w:val="24"/>
          <w:highlight w:val="none"/>
        </w:rPr>
        <w:t>0</w:t>
      </w: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个</w:t>
      </w:r>
      <w:r>
        <w:rPr>
          <w:rFonts w:ascii="宋体" w:hAnsi="宋体" w:eastAsia="宋体" w:cs="仿宋_GB2312"/>
          <w:color w:val="auto"/>
          <w:sz w:val="24"/>
          <w:highlight w:val="none"/>
        </w:rPr>
        <w:t>。</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1.4考核依据和期限</w:t>
      </w:r>
    </w:p>
    <w:p>
      <w:pPr>
        <w:spacing w:line="336"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国家级奖项计分有效期为提交投标文件截止时间前</w:t>
      </w:r>
      <w:r>
        <w:rPr>
          <w:rFonts w:ascii="宋体" w:hAnsi="宋体" w:eastAsia="宋体" w:cs="仿宋_GB2312"/>
          <w:color w:val="auto"/>
          <w:sz w:val="24"/>
          <w:highlight w:val="none"/>
        </w:rPr>
        <w:t>2</w:t>
      </w:r>
      <w:r>
        <w:rPr>
          <w:rFonts w:hint="eastAsia" w:ascii="宋体" w:hAnsi="宋体" w:eastAsia="宋体" w:cs="仿宋_GB2312"/>
          <w:color w:val="auto"/>
          <w:sz w:val="24"/>
          <w:highlight w:val="none"/>
        </w:rPr>
        <w:t>年，国家级</w:t>
      </w:r>
      <w:r>
        <w:rPr>
          <w:rFonts w:ascii="宋体" w:hAnsi="宋体" w:eastAsia="宋体" w:cs="仿宋_GB2312"/>
          <w:color w:val="auto"/>
          <w:sz w:val="24"/>
          <w:highlight w:val="none"/>
        </w:rPr>
        <w:t>标准化工地</w:t>
      </w:r>
      <w:r>
        <w:rPr>
          <w:rFonts w:hint="eastAsia" w:ascii="宋体" w:hAnsi="宋体" w:eastAsia="宋体" w:cs="仿宋_GB2312"/>
          <w:color w:val="auto"/>
          <w:sz w:val="24"/>
          <w:highlight w:val="none"/>
        </w:rPr>
        <w:t>和省级奖项有效期为提交投标文件截止时间前</w:t>
      </w:r>
      <w:r>
        <w:rPr>
          <w:rFonts w:ascii="宋体" w:hAnsi="宋体" w:eastAsia="宋体" w:cs="仿宋_GB2312"/>
          <w:color w:val="auto"/>
          <w:sz w:val="24"/>
          <w:highlight w:val="none"/>
        </w:rPr>
        <w:t>1</w:t>
      </w:r>
      <w:r>
        <w:rPr>
          <w:rFonts w:hint="eastAsia" w:ascii="宋体" w:hAnsi="宋体" w:eastAsia="宋体" w:cs="仿宋_GB2312"/>
          <w:color w:val="auto"/>
          <w:sz w:val="24"/>
          <w:highlight w:val="none"/>
        </w:rPr>
        <w:t>年，</w:t>
      </w:r>
      <w:r>
        <w:rPr>
          <w:rFonts w:ascii="宋体" w:hAnsi="宋体" w:eastAsia="宋体" w:cs="仿宋_GB2312"/>
          <w:color w:val="auto"/>
          <w:sz w:val="24"/>
          <w:highlight w:val="none"/>
        </w:rPr>
        <w:t>自文件发布之日起计算</w:t>
      </w:r>
      <w:r>
        <w:rPr>
          <w:rFonts w:hint="eastAsia" w:ascii="宋体" w:hAnsi="宋体" w:eastAsia="宋体" w:cs="仿宋_GB2312"/>
          <w:color w:val="auto"/>
          <w:sz w:val="24"/>
          <w:highlight w:val="none"/>
        </w:rPr>
        <w:t>。</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1.5加分规则</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1.5.1奖项</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r>
        <w:rPr>
          <w:rFonts w:ascii="宋体" w:hAnsi="宋体" w:eastAsia="宋体" w:cs="仿宋_GB2312"/>
          <w:color w:val="auto"/>
          <w:sz w:val="24"/>
          <w:highlight w:val="none"/>
        </w:rPr>
        <w:t>）</w:t>
      </w:r>
      <w:r>
        <w:rPr>
          <w:rFonts w:hint="eastAsia" w:ascii="宋体" w:hAnsi="宋体" w:eastAsia="宋体" w:cs="仿宋_GB2312"/>
          <w:color w:val="auto"/>
          <w:sz w:val="24"/>
          <w:highlight w:val="none"/>
        </w:rPr>
        <w:t>招标项目为房屋建筑施工总承包和市政施工总承包工程的，招标项目工程类型与获奖工程的工程类型不一致，则该获奖工程不予计分，即：房屋建筑工程招标不对获奖的市政基础设施工程计分，市政基础设施工程招标不对获奖的房屋建筑工程计分；以专业资质获得的奖项和以参建单位获得的奖项均不予计分。承建单位有两个及以上的，分别按照计分规则分值的1／2计取；</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）招标项目为专业工程的，仅对以同专业资质获得的相应奖项计分，承建单位有两个及以上的，按规定</w:t>
      </w:r>
      <w:r>
        <w:rPr>
          <w:rFonts w:ascii="宋体" w:hAnsi="宋体" w:eastAsia="宋体" w:cs="仿宋_GB2312"/>
          <w:color w:val="auto"/>
          <w:sz w:val="24"/>
          <w:highlight w:val="none"/>
        </w:rPr>
        <w:t>分值计取</w:t>
      </w:r>
      <w:r>
        <w:rPr>
          <w:rFonts w:hint="eastAsia" w:ascii="宋体" w:hAnsi="宋体" w:eastAsia="宋体" w:cs="仿宋_GB2312"/>
          <w:color w:val="auto"/>
          <w:sz w:val="24"/>
          <w:highlight w:val="none"/>
        </w:rPr>
        <w:t>。以总承包资质获得的奖项不予计分；</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1.5.2标准化工地</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招标项目为房屋建筑施工总承包和市政施工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专业工程获得的标准化工地不予计分；</w:t>
      </w:r>
    </w:p>
    <w:p>
      <w:pPr>
        <w:spacing w:line="336"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（2）招标项目为专业工程的，仅对同专业工程获得的相应标准化工地计分。以施工总承包资质获得标准化工地的不予计分；</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国家级标准化工地的承建单位有两个以上的,分别按照企业资信及履约能力评审计分表中规定分值的1/2计取； </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1.5.3同一工程的施工奖项，按照得分高的奖项计分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同一工程的标准化工地，按照得分高的标准化工地计分。</w:t>
      </w:r>
    </w:p>
    <w:p>
      <w:pPr>
        <w:spacing w:line="336" w:lineRule="auto"/>
        <w:ind w:firstLine="480" w:firstLineChars="200"/>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1.6 绿色建筑及</w:t>
      </w:r>
      <w:r>
        <w:rPr>
          <w:rFonts w:ascii="宋体" w:hAnsi="宋体" w:eastAsia="宋体" w:cs="仿宋_GB2312"/>
          <w:bCs/>
          <w:color w:val="auto"/>
          <w:sz w:val="24"/>
          <w:highlight w:val="none"/>
        </w:rPr>
        <w:t>科技创新</w:t>
      </w:r>
      <w:r>
        <w:rPr>
          <w:rFonts w:hint="eastAsia" w:ascii="宋体" w:hAnsi="宋体" w:eastAsia="宋体" w:cs="仿宋_GB2312"/>
          <w:bCs/>
          <w:color w:val="auto"/>
          <w:sz w:val="24"/>
          <w:highlight w:val="none"/>
        </w:rPr>
        <w:t>加分规定</w:t>
      </w:r>
    </w:p>
    <w:p>
      <w:pPr>
        <w:spacing w:line="336" w:lineRule="auto"/>
        <w:ind w:firstLine="480" w:firstLineChars="200"/>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招标项目中明确包含绿色建筑内容或科技</w:t>
      </w:r>
      <w:r>
        <w:rPr>
          <w:rFonts w:ascii="宋体" w:hAnsi="宋体" w:eastAsia="宋体" w:cs="仿宋_GB2312"/>
          <w:bCs/>
          <w:color w:val="auto"/>
          <w:sz w:val="24"/>
          <w:highlight w:val="none"/>
        </w:rPr>
        <w:t>创新</w:t>
      </w:r>
      <w:r>
        <w:rPr>
          <w:rFonts w:hint="eastAsia" w:ascii="宋体" w:hAnsi="宋体" w:eastAsia="宋体" w:cs="仿宋_GB2312"/>
          <w:bCs/>
          <w:color w:val="auto"/>
          <w:sz w:val="24"/>
          <w:highlight w:val="none"/>
        </w:rPr>
        <w:t>要求的，招标人可自行选择以下绿色</w:t>
      </w:r>
      <w:r>
        <w:rPr>
          <w:rFonts w:ascii="宋体" w:hAnsi="宋体" w:eastAsia="宋体" w:cs="仿宋_GB2312"/>
          <w:bCs/>
          <w:color w:val="auto"/>
          <w:sz w:val="24"/>
          <w:highlight w:val="none"/>
        </w:rPr>
        <w:t>发展</w:t>
      </w:r>
      <w:r>
        <w:rPr>
          <w:rFonts w:hint="eastAsia" w:ascii="宋体" w:hAnsi="宋体" w:eastAsia="宋体" w:cs="仿宋_GB2312"/>
          <w:bCs/>
          <w:color w:val="auto"/>
          <w:sz w:val="24"/>
          <w:highlight w:val="none"/>
        </w:rPr>
        <w:t>或者</w:t>
      </w:r>
      <w:r>
        <w:rPr>
          <w:rFonts w:ascii="宋体" w:hAnsi="宋体" w:eastAsia="宋体" w:cs="仿宋_GB2312"/>
          <w:bCs/>
          <w:color w:val="auto"/>
          <w:sz w:val="24"/>
          <w:highlight w:val="none"/>
        </w:rPr>
        <w:t>科技创新</w:t>
      </w:r>
      <w:r>
        <w:rPr>
          <w:rFonts w:hint="eastAsia" w:ascii="宋体" w:hAnsi="宋体" w:eastAsia="宋体" w:cs="仿宋_GB2312"/>
          <w:bCs/>
          <w:color w:val="auto"/>
          <w:sz w:val="24"/>
          <w:highlight w:val="none"/>
        </w:rPr>
        <w:t>相关</w:t>
      </w:r>
      <w:r>
        <w:rPr>
          <w:rFonts w:ascii="宋体" w:hAnsi="宋体" w:eastAsia="宋体" w:cs="仿宋_GB2312"/>
          <w:bCs/>
          <w:color w:val="auto"/>
          <w:sz w:val="24"/>
          <w:highlight w:val="none"/>
        </w:rPr>
        <w:t>指标</w:t>
      </w:r>
      <w:r>
        <w:rPr>
          <w:rFonts w:hint="eastAsia" w:ascii="宋体" w:hAnsi="宋体" w:eastAsia="宋体" w:cs="仿宋_GB2312"/>
          <w:bCs/>
          <w:color w:val="auto"/>
          <w:sz w:val="24"/>
          <w:highlight w:val="none"/>
        </w:rPr>
        <w:t>。绿色施工工程每个0.5分，以湖南省住房和城乡建设厅公布文件为准。科技</w:t>
      </w:r>
      <w:r>
        <w:rPr>
          <w:rFonts w:ascii="宋体" w:hAnsi="宋体" w:eastAsia="宋体" w:cs="仿宋_GB2312"/>
          <w:bCs/>
          <w:color w:val="auto"/>
          <w:sz w:val="24"/>
          <w:highlight w:val="none"/>
        </w:rPr>
        <w:t>创新</w:t>
      </w:r>
      <w:r>
        <w:rPr>
          <w:rFonts w:hint="eastAsia" w:ascii="宋体" w:hAnsi="宋体" w:eastAsia="宋体" w:cs="仿宋_GB2312"/>
          <w:bCs/>
          <w:color w:val="auto"/>
          <w:sz w:val="24"/>
          <w:highlight w:val="none"/>
        </w:rPr>
        <w:t>：省部级</w:t>
      </w:r>
      <w:r>
        <w:rPr>
          <w:rFonts w:hint="eastAsia" w:ascii="宋体" w:hAnsi="宋体" w:eastAsia="宋体" w:cs="仿宋_GB2312"/>
          <w:color w:val="auto"/>
          <w:kern w:val="0"/>
          <w:sz w:val="24"/>
          <w:highlight w:val="none"/>
        </w:rPr>
        <w:t>工程建设行业工法每项0.5，省工程建设行业科技创新优质工程每个0.5分。</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 1.7 园林绿化工程加分规定</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bCs/>
          <w:color w:val="auto"/>
          <w:sz w:val="24"/>
          <w:highlight w:val="none"/>
        </w:rPr>
        <w:t>招标工程为园林绿化工程的，</w:t>
      </w:r>
      <w:r>
        <w:rPr>
          <w:rFonts w:hint="eastAsia" w:ascii="宋体" w:hAnsi="宋体" w:eastAsia="宋体" w:cs="仿宋_GB2312"/>
          <w:color w:val="auto"/>
          <w:sz w:val="24"/>
          <w:highlight w:val="none"/>
        </w:rPr>
        <w:t>国家级奖项仅对中国人居环境范例奖（园林绿化获奖项目）加分（每个2分），以住房和城乡建设部公布文件为准；省级奖项仅对湖南省园林绿化优质工程加分（每个1分），以湖南省园林绿化协会公布文件为准。</w:t>
      </w:r>
      <w:r>
        <w:rPr>
          <w:rFonts w:hint="eastAsia" w:ascii="宋体" w:hAnsi="宋体" w:eastAsia="宋体" w:cs="仿宋_GB2312"/>
          <w:bCs/>
          <w:color w:val="auto"/>
          <w:sz w:val="24"/>
          <w:highlight w:val="none"/>
        </w:rPr>
        <w:t>国家级、省级奖项规定的个数和对应最高分不变</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优良信息中的其他评审因素不加分</w:t>
      </w:r>
      <w:r>
        <w:rPr>
          <w:rFonts w:hint="eastAsia" w:ascii="宋体" w:hAnsi="宋体" w:eastAsia="宋体" w:cs="仿宋_GB2312"/>
          <w:color w:val="auto"/>
          <w:sz w:val="24"/>
          <w:highlight w:val="none"/>
        </w:rPr>
        <w:t>。</w:t>
      </w:r>
    </w:p>
    <w:p>
      <w:pPr>
        <w:spacing w:line="336"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1.8获得奖项</w:t>
      </w:r>
      <w:r>
        <w:rPr>
          <w:rFonts w:ascii="宋体" w:hAnsi="宋体" w:eastAsia="宋体" w:cs="仿宋_GB2312"/>
          <w:color w:val="auto"/>
          <w:sz w:val="24"/>
          <w:highlight w:val="none"/>
        </w:rPr>
        <w:t>、标准化工地</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绿色建筑</w:t>
      </w:r>
      <w:r>
        <w:rPr>
          <w:rFonts w:hint="eastAsia" w:ascii="宋体" w:hAnsi="宋体" w:eastAsia="宋体" w:cs="仿宋_GB2312"/>
          <w:color w:val="auto"/>
          <w:sz w:val="24"/>
          <w:highlight w:val="none"/>
        </w:rPr>
        <w:t>标识及</w:t>
      </w:r>
      <w:r>
        <w:rPr>
          <w:rFonts w:hint="eastAsia" w:ascii="宋体" w:hAnsi="宋体" w:eastAsia="宋体" w:cs="仿宋_GB2312"/>
          <w:color w:val="auto"/>
          <w:kern w:val="0"/>
          <w:sz w:val="24"/>
          <w:highlight w:val="none"/>
        </w:rPr>
        <w:t>科技创新优质工程</w:t>
      </w:r>
      <w:r>
        <w:rPr>
          <w:rFonts w:ascii="宋体" w:hAnsi="宋体" w:eastAsia="宋体" w:cs="仿宋_GB2312"/>
          <w:color w:val="auto"/>
          <w:sz w:val="24"/>
          <w:highlight w:val="none"/>
        </w:rPr>
        <w:t>等</w:t>
      </w:r>
      <w:r>
        <w:rPr>
          <w:rFonts w:hint="eastAsia" w:ascii="宋体" w:hAnsi="宋体" w:eastAsia="宋体" w:cs="仿宋_GB2312"/>
          <w:color w:val="auto"/>
          <w:sz w:val="24"/>
          <w:highlight w:val="none"/>
        </w:rPr>
        <w:t>项目的专业类别认定。以表彰文件中载明的专业类别为准；表彰文件中未注明项目专业类别的须提交申报材料,以申报资料中</w:t>
      </w:r>
      <w:r>
        <w:rPr>
          <w:rFonts w:hint="eastAsia" w:ascii="宋体" w:hAnsi="宋体" w:eastAsia="宋体" w:cs="仿宋_GB2312"/>
          <w:color w:val="auto"/>
          <w:sz w:val="24"/>
          <w:highlight w:val="none"/>
          <w:lang w:val="en-US" w:eastAsia="zh-CN"/>
        </w:rPr>
        <w:t>认定</w:t>
      </w:r>
      <w:r>
        <w:rPr>
          <w:rFonts w:hint="eastAsia" w:ascii="宋体" w:hAnsi="宋体" w:eastAsia="宋体" w:cs="仿宋_GB2312"/>
          <w:color w:val="auto"/>
          <w:sz w:val="24"/>
          <w:highlight w:val="none"/>
        </w:rPr>
        <w:t>的专业类别为准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申报材料中有多个专业的，以第一个专业为准</w:t>
      </w:r>
      <w:r>
        <w:rPr>
          <w:rFonts w:hint="eastAsia" w:ascii="宋体" w:hAnsi="宋体" w:eastAsia="宋体" w:cs="仿宋_GB2312"/>
          <w:color w:val="auto"/>
          <w:sz w:val="24"/>
          <w:highlight w:val="none"/>
        </w:rPr>
        <w:t>；以上证明材料均无法辨别项目专业类别的，该奖项</w:t>
      </w:r>
      <w:r>
        <w:rPr>
          <w:rFonts w:ascii="宋体" w:hAnsi="宋体" w:eastAsia="宋体" w:cs="仿宋_GB2312"/>
          <w:color w:val="auto"/>
          <w:sz w:val="24"/>
          <w:highlight w:val="none"/>
        </w:rPr>
        <w:t>、标准化工地等</w:t>
      </w:r>
      <w:r>
        <w:rPr>
          <w:rFonts w:hint="eastAsia" w:ascii="宋体" w:hAnsi="宋体" w:eastAsia="宋体" w:cs="仿宋_GB2312"/>
          <w:color w:val="auto"/>
          <w:sz w:val="24"/>
          <w:highlight w:val="none"/>
        </w:rPr>
        <w:t>不予计分。</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1.9与我省签署了招标投标信息共享备忘录的省区市发布的相关奖项</w:t>
      </w:r>
      <w:r>
        <w:rPr>
          <w:rFonts w:ascii="宋体" w:hAnsi="宋体" w:eastAsia="宋体" w:cs="仿宋_GB2312"/>
          <w:color w:val="auto"/>
          <w:sz w:val="24"/>
          <w:highlight w:val="none"/>
        </w:rPr>
        <w:t>和标准化工地可以用于我省招投标。</w:t>
      </w:r>
    </w:p>
    <w:p>
      <w:pPr>
        <w:spacing w:line="336"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 投标人类似工程业绩：</w:t>
      </w:r>
    </w:p>
    <w:p>
      <w:pPr>
        <w:snapToGrid w:val="0"/>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招标人可以根据项目实际情况选取0</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个类似工程业绩纳入评审。</w:t>
      </w:r>
    </w:p>
    <w:p>
      <w:pPr>
        <w:spacing w:line="336"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2.1类似工程业绩以中标通知书（招标工程提交）、 合同和竣工验收资料为准，并提供“湖南省智慧住建云—湖南省建筑市场监管公共服务平台”或者“全国建筑市场监管公共服务平台”上体现其作为承包人的项目网页截图。相关指标不一致时，依次按照竣工验收资料、合同、中标通知书的顺序认定。竣工验收资料是指竣工验收备案表（经建设工程质量监督部门签字确认）或者竣工验收证明（由建设单位、施工单位、监理单位、设计单位盖章认可，下同）。</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投标人提供的类似工程业绩同时包含房屋建筑工程和市政工程类别的，其工程类别所对应的工程量应当根据竣工验收资料、合同、中标通知书进行认定；竣工验收资料、合同、中标通知书不能明确区分的，由评标委员会进行认定。</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2.2业绩的有效时间：</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年，自工程竣工验收文件中建设单位签字之日起计算。类似工程业绩考核依据中竣工验收备案表未体现建设单位签字之日的，以竣工验收备案表“竣工验收日期”栏中注明的时间为准。</w:t>
      </w:r>
    </w:p>
    <w:p>
      <w:pPr>
        <w:spacing w:line="336"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3．信用评价</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3.1施工单位信用评价情况采用提交投标文件截止之时最新公告的信用评价结果。评标时以在“湖南省智慧住建云—湖南省建筑市场监管公共服务平台”中查询的结果为准。</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未参加信用评价的投标人（含联合体各成员方），按照信用评价处于末位的合格投标人的分值计取。其中被记录不良行为、</w:t>
      </w:r>
      <w:r>
        <w:rPr>
          <w:rFonts w:ascii="宋体" w:hAnsi="宋体" w:eastAsia="宋体" w:cs="仿宋_GB2312"/>
          <w:color w:val="auto"/>
          <w:sz w:val="24"/>
          <w:highlight w:val="none"/>
        </w:rPr>
        <w:t>行政处罚</w:t>
      </w:r>
      <w:r>
        <w:rPr>
          <w:rFonts w:hint="eastAsia" w:ascii="宋体" w:hAnsi="宋体" w:eastAsia="宋体" w:cs="仿宋_GB2312"/>
          <w:color w:val="auto"/>
          <w:sz w:val="24"/>
          <w:highlight w:val="none"/>
        </w:rPr>
        <w:t>或者列入失信黑名单的投标人，按照湖南省</w:t>
      </w:r>
      <w:r>
        <w:rPr>
          <w:rFonts w:ascii="宋体" w:hAnsi="宋体" w:eastAsia="宋体" w:cs="仿宋_GB2312"/>
          <w:color w:val="auto"/>
          <w:sz w:val="24"/>
          <w:highlight w:val="none"/>
        </w:rPr>
        <w:t>房屋建筑和市政基础设施工程</w:t>
      </w:r>
      <w:r>
        <w:rPr>
          <w:rFonts w:hint="eastAsia" w:ascii="宋体" w:hAnsi="宋体" w:eastAsia="宋体" w:cs="仿宋_GB2312"/>
          <w:color w:val="auto"/>
          <w:sz w:val="24"/>
          <w:highlight w:val="none"/>
        </w:rPr>
        <w:t>及监理招标投标信用评价相关</w:t>
      </w:r>
      <w:r>
        <w:rPr>
          <w:rFonts w:ascii="宋体" w:hAnsi="宋体" w:eastAsia="宋体" w:cs="仿宋_GB2312"/>
          <w:color w:val="auto"/>
          <w:sz w:val="24"/>
          <w:highlight w:val="none"/>
        </w:rPr>
        <w:t>规定</w:t>
      </w:r>
      <w:r>
        <w:rPr>
          <w:rFonts w:hint="eastAsia" w:ascii="宋体" w:hAnsi="宋体" w:eastAsia="宋体" w:cs="仿宋_GB2312"/>
          <w:color w:val="auto"/>
          <w:sz w:val="24"/>
          <w:highlight w:val="none"/>
        </w:rPr>
        <w:t>予以</w:t>
      </w:r>
      <w:r>
        <w:rPr>
          <w:rFonts w:ascii="宋体" w:hAnsi="宋体" w:eastAsia="宋体" w:cs="仿宋_GB2312"/>
          <w:color w:val="auto"/>
          <w:sz w:val="24"/>
          <w:highlight w:val="none"/>
        </w:rPr>
        <w:t>扣分</w:t>
      </w:r>
      <w:r>
        <w:rPr>
          <w:rFonts w:hint="eastAsia" w:ascii="宋体" w:hAnsi="宋体" w:eastAsia="宋体" w:cs="仿宋_GB2312"/>
          <w:color w:val="auto"/>
          <w:sz w:val="24"/>
          <w:highlight w:val="none"/>
        </w:rPr>
        <w:t>。</w:t>
      </w:r>
    </w:p>
    <w:p>
      <w:pPr>
        <w:spacing w:line="336" w:lineRule="auto"/>
        <w:rPr>
          <w:rFonts w:ascii="宋体" w:hAnsi="宋体" w:eastAsia="宋体" w:cs="仿宋_GB2312"/>
          <w:color w:val="auto"/>
          <w:sz w:val="24"/>
          <w:highlight w:val="none"/>
        </w:rPr>
      </w:pPr>
      <w:r>
        <w:rPr>
          <w:rFonts w:ascii="宋体" w:hAnsi="宋体" w:eastAsia="宋体" w:cs="仿宋_GB2312"/>
          <w:color w:val="auto"/>
          <w:sz w:val="24"/>
          <w:highlight w:val="none"/>
        </w:rPr>
        <w:t>4.</w:t>
      </w:r>
      <w:r>
        <w:rPr>
          <w:rFonts w:hint="eastAsia" w:ascii="宋体" w:hAnsi="宋体" w:eastAsia="宋体" w:cs="仿宋_GB2312"/>
          <w:color w:val="auto"/>
          <w:sz w:val="24"/>
          <w:highlight w:val="none"/>
        </w:rPr>
        <w:t>企业现场考评优良</w:t>
      </w:r>
      <w:r>
        <w:rPr>
          <w:rFonts w:ascii="宋体" w:hAnsi="宋体" w:eastAsia="宋体" w:cs="仿宋_GB2312"/>
          <w:color w:val="auto"/>
          <w:sz w:val="24"/>
          <w:highlight w:val="none"/>
        </w:rPr>
        <w:t>率</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4.1</w:t>
      </w:r>
      <w:r>
        <w:rPr>
          <w:rFonts w:hint="eastAsia" w:ascii="宋体" w:hAnsi="宋体" w:eastAsia="宋体" w:cs="仿宋_GB2312"/>
          <w:color w:val="auto"/>
          <w:sz w:val="24"/>
          <w:highlight w:val="none"/>
        </w:rPr>
        <w:t>企业</w:t>
      </w:r>
      <w:r>
        <w:rPr>
          <w:rFonts w:ascii="宋体" w:hAnsi="宋体" w:eastAsia="宋体" w:cs="仿宋_GB2312"/>
          <w:color w:val="auto"/>
          <w:sz w:val="24"/>
          <w:highlight w:val="none"/>
        </w:rPr>
        <w:t>现场考评优良率</w:t>
      </w:r>
      <w:r>
        <w:rPr>
          <w:rFonts w:hint="eastAsia" w:ascii="宋体" w:hAnsi="宋体" w:eastAsia="宋体" w:cs="仿宋_GB2312"/>
          <w:color w:val="auto"/>
          <w:sz w:val="24"/>
          <w:highlight w:val="none"/>
        </w:rPr>
        <w:t>以“湖南省智慧住建云—湖南省建筑市场监管公共服务平台”发布</w:t>
      </w:r>
      <w:r>
        <w:rPr>
          <w:rFonts w:ascii="宋体" w:hAnsi="宋体" w:eastAsia="宋体" w:cs="仿宋_GB2312"/>
          <w:color w:val="auto"/>
          <w:sz w:val="24"/>
          <w:highlight w:val="none"/>
        </w:rPr>
        <w:t>的信息为准。</w:t>
      </w:r>
    </w:p>
    <w:p>
      <w:pPr>
        <w:spacing w:line="336" w:lineRule="auto"/>
        <w:rPr>
          <w:rFonts w:ascii="宋体" w:hAnsi="宋体" w:eastAsia="宋体" w:cs="仿宋_GB2312"/>
          <w:color w:val="auto"/>
          <w:highlight w:val="none"/>
        </w:rPr>
      </w:pPr>
      <w:r>
        <w:rPr>
          <w:rFonts w:hint="eastAsia" w:ascii="宋体" w:hAnsi="宋体" w:eastAsia="宋体" w:cs="仿宋_GB2312"/>
          <w:color w:val="auto"/>
          <w:sz w:val="24"/>
          <w:highlight w:val="none"/>
        </w:rPr>
        <w:t>5.</w:t>
      </w:r>
      <w:r>
        <w:rPr>
          <w:rFonts w:ascii="宋体" w:hAnsi="宋体" w:eastAsia="宋体" w:cs="仿宋_GB2312"/>
          <w:color w:val="auto"/>
          <w:sz w:val="24"/>
          <w:highlight w:val="none"/>
        </w:rPr>
        <w:t xml:space="preserve"> </w:t>
      </w:r>
      <w:r>
        <w:rPr>
          <w:rFonts w:hint="eastAsia" w:ascii="宋体" w:hAnsi="宋体" w:eastAsia="宋体" w:cs="仿宋_GB2312"/>
          <w:color w:val="auto"/>
          <w:sz w:val="24"/>
          <w:highlight w:val="none"/>
        </w:rPr>
        <w:t>同一类型(专业)的施工企业组成的联合体,奖项、标准化工地、加分业绩、信用评价</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优良率</w:t>
      </w:r>
      <w:r>
        <w:rPr>
          <w:rFonts w:hint="eastAsia" w:ascii="宋体" w:hAnsi="宋体" w:eastAsia="宋体" w:cs="仿宋_GB2312"/>
          <w:color w:val="auto"/>
          <w:sz w:val="24"/>
          <w:highlight w:val="none"/>
        </w:rPr>
        <w:t>得分分别为联合体各方得分的平均值。</w:t>
      </w:r>
    </w:p>
    <w:p>
      <w:pPr>
        <w:spacing w:line="336"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不同类型的施工企业组成的联合体,招标人应在招标文件中根据项目实际情况,明确主要类型</w:t>
      </w:r>
      <w:r>
        <w:rPr>
          <w:rFonts w:ascii="宋体" w:hAnsi="宋体" w:eastAsia="宋体" w:cs="仿宋_GB2312"/>
          <w:color w:val="auto"/>
          <w:sz w:val="24"/>
          <w:highlight w:val="none"/>
        </w:rPr>
        <w:t>（</w:t>
      </w:r>
      <w:r>
        <w:rPr>
          <w:rFonts w:hint="eastAsia" w:ascii="宋体" w:hAnsi="宋体" w:eastAsia="宋体" w:cs="仿宋_GB2312"/>
          <w:color w:val="auto"/>
          <w:sz w:val="24"/>
          <w:highlight w:val="none"/>
        </w:rPr>
        <w:t>专业）,奖项、标准化工地、加分业绩、信用评价</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优良率</w:t>
      </w:r>
      <w:r>
        <w:rPr>
          <w:rFonts w:hint="eastAsia" w:ascii="宋体" w:hAnsi="宋体" w:eastAsia="宋体" w:cs="仿宋_GB2312"/>
          <w:color w:val="auto"/>
          <w:sz w:val="24"/>
          <w:highlight w:val="none"/>
        </w:rPr>
        <w:t>得分均只考虑主要类型(专业),设置项目奖项、标准化工地、加分业绩的指标标准按照主要类型(专业)的规模,其他指标标准和相关要求按照整个招标项目的规模。奖项、标准化工地、加分业绩、信用评价</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优良率</w:t>
      </w:r>
      <w:r>
        <w:rPr>
          <w:rFonts w:hint="eastAsia" w:ascii="宋体" w:hAnsi="宋体" w:eastAsia="宋体" w:cs="仿宋_GB2312"/>
          <w:color w:val="auto"/>
          <w:sz w:val="24"/>
          <w:highlight w:val="none"/>
        </w:rPr>
        <w:t>得分为联合体主要类型(专业)单位的得分。</w:t>
      </w:r>
    </w:p>
    <w:p>
      <w:pPr>
        <w:spacing w:line="336"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 项目管理机构</w:t>
      </w:r>
    </w:p>
    <w:p>
      <w:pPr>
        <w:snapToGrid w:val="0"/>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1</w:t>
      </w:r>
      <w:r>
        <w:rPr>
          <w:rFonts w:hint="eastAsia" w:ascii="宋体" w:hAnsi="宋体" w:eastAsia="宋体" w:cs="仿宋_GB2312"/>
          <w:color w:val="auto"/>
          <w:sz w:val="24"/>
          <w:highlight w:val="none"/>
        </w:rPr>
        <w:t>项目管理机构业绩：</w:t>
      </w:r>
    </w:p>
    <w:p>
      <w:pPr>
        <w:snapToGrid w:val="0"/>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招标人可以根据项目实际情况选取0-1个项目经理类似工程业绩纳入评审。</w:t>
      </w:r>
    </w:p>
    <w:p>
      <w:pPr>
        <w:snapToGrid w:val="0"/>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目经理类似工程业绩以中标通知书（招标工程提交）、合同和竣工验收资料为准。项目经理姓名不一致时，依次按照竣工验收资料、合同和中标通知书的顺序认定。竣工验收资料、合同和中标通知书等任一考核依据上标明的项目经理超过一个的，仅对排序第一的项目经理计分。相关指标不一致时，依次按照中标通知书、合同、竣工验收资料的顺序认定。并提供“湖南省智慧住建云—湖南省建筑市场监管公共服务平台”或者“全国建筑市场监管公共服务平台”上体现其作为项目经理的项目网页截图。</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2</w:t>
      </w:r>
      <w:r>
        <w:rPr>
          <w:rFonts w:hint="eastAsia" w:ascii="宋体" w:hAnsi="宋体" w:eastAsia="宋体" w:cs="仿宋_GB2312"/>
          <w:color w:val="auto"/>
          <w:sz w:val="24"/>
          <w:highlight w:val="none"/>
        </w:rPr>
        <w:t>考核期限：</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年，按工程竣工验收文件中建设单位签字之日起计算。类似工程业绩考核依据中竣工验收备案表未体现建设单位签字之日的，以竣工验收备案表“竣工验收日期”栏中注明的时间为准。</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奖项：</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奖项类型、加分规则、考核依据和期限等与投标企业奖项一致。</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奖项中未标明项目经理姓名的，以竣工验收资料中标明的项目经理为准；竣工验收资料中标明的项目经理超过一个的，仅对排序第一的项目经理计分；竣工验收资料中未标明项目经理姓名，以及无法分辨工程类型的，不予计分。</w:t>
      </w:r>
    </w:p>
    <w:p>
      <w:pPr>
        <w:spacing w:line="336" w:lineRule="auto"/>
        <w:ind w:firstLine="480" w:firstLineChars="200"/>
        <w:rPr>
          <w:rFonts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4</w:t>
      </w:r>
      <w:r>
        <w:rPr>
          <w:rFonts w:hint="eastAsia" w:ascii="宋体" w:hAnsi="宋体" w:eastAsia="宋体" w:cs="仿宋_GB2312"/>
          <w:color w:val="auto"/>
          <w:sz w:val="24"/>
          <w:highlight w:val="none"/>
        </w:rPr>
        <w:t>投标截止时间以前</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年</w:t>
      </w:r>
      <w:r>
        <w:rPr>
          <w:rFonts w:ascii="宋体" w:hAnsi="宋体" w:eastAsia="宋体" w:cs="仿宋_GB2312"/>
          <w:color w:val="auto"/>
          <w:sz w:val="24"/>
          <w:highlight w:val="none"/>
        </w:rPr>
        <w:t>内</w:t>
      </w:r>
      <w:r>
        <w:rPr>
          <w:rFonts w:hint="eastAsia" w:ascii="宋体" w:hAnsi="宋体" w:eastAsia="宋体" w:cs="仿宋_GB2312"/>
          <w:color w:val="auto"/>
          <w:sz w:val="24"/>
          <w:highlight w:val="none"/>
        </w:rPr>
        <w:t>，拟任项目经理在其他项目担任项目经理期间发生过变更撤换且在该项目完成合同约定工作量或合同约定本职工作之前，参与本项目投标的，不对该项目经理的类似工程业绩和奖项等计分；存在上述情形的，投标人应当在投标文件中如实说明，未如实说明的，招标人取消其中标候选人资格，并提请住房和城乡建设主管部门按规定予以信用评价扣分。（适用于：项目经理业绩、奖项加分的项目，且投标人在投标文件中已按招标文件规定提供符合加分的项目经理业绩或奖项证明材料的）</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 xml:space="preserve"> 不良行为记录：</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.1拟任项目经理不良行为记录扣分有效期为</w:t>
      </w: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个</w:t>
      </w:r>
      <w:r>
        <w:rPr>
          <w:rFonts w:ascii="宋体" w:hAnsi="宋体" w:eastAsia="宋体" w:cs="仿宋_GB2312"/>
          <w:color w:val="auto"/>
          <w:sz w:val="24"/>
          <w:highlight w:val="none"/>
        </w:rPr>
        <w:t>月</w:t>
      </w:r>
      <w:r>
        <w:rPr>
          <w:rFonts w:hint="eastAsia" w:ascii="宋体" w:hAnsi="宋体" w:eastAsia="宋体" w:cs="仿宋_GB2312"/>
          <w:color w:val="auto"/>
          <w:sz w:val="24"/>
          <w:highlight w:val="none"/>
        </w:rPr>
        <w:t>，自湖南省住房和城乡建设厅公布之日起至投交投标文件截止之日止。列入省公管办或省住建厅发布的黑名单扣分有效期为</w:t>
      </w:r>
      <w:r>
        <w:rPr>
          <w:rFonts w:ascii="宋体" w:hAnsi="宋体" w:eastAsia="宋体" w:cs="仿宋_GB2312"/>
          <w:color w:val="auto"/>
          <w:sz w:val="24"/>
          <w:highlight w:val="none"/>
        </w:rPr>
        <w:t>1</w:t>
      </w:r>
      <w:r>
        <w:rPr>
          <w:rFonts w:hint="eastAsia" w:ascii="宋体" w:hAnsi="宋体" w:eastAsia="宋体" w:cs="仿宋_GB2312"/>
          <w:color w:val="auto"/>
          <w:sz w:val="24"/>
          <w:highlight w:val="none"/>
        </w:rPr>
        <w:t>年，自湖南省公管办或湖南省住房和城乡建设厅公布之日起至提交投标文件截止之日止；</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 xml:space="preserve"> 5</w:t>
      </w:r>
      <w:r>
        <w:rPr>
          <w:rFonts w:hint="eastAsia" w:ascii="宋体" w:hAnsi="宋体" w:eastAsia="宋体" w:cs="仿宋_GB2312"/>
          <w:color w:val="auto"/>
          <w:sz w:val="24"/>
          <w:highlight w:val="none"/>
        </w:rPr>
        <w:t>.2不良行为记录包括工程质量、安全生产、市场行为等方面的情况。省住房和城乡建设厅发布的《湖南省建筑市场责任主体不良行为记录》是确认本省行政区域内不良行为记录的依据；</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 xml:space="preserve"> 5</w:t>
      </w:r>
      <w:r>
        <w:rPr>
          <w:rFonts w:hint="eastAsia" w:ascii="宋体" w:hAnsi="宋体" w:eastAsia="宋体" w:cs="仿宋_GB2312"/>
          <w:color w:val="auto"/>
          <w:sz w:val="24"/>
          <w:highlight w:val="none"/>
        </w:rPr>
        <w:t>.3与我省签署了招标投标信息共享备忘录的省区市发布的相关不良行为记录按照备忘录要求执行。</w:t>
      </w:r>
    </w:p>
    <w:p>
      <w:pPr>
        <w:spacing w:line="336" w:lineRule="auto"/>
        <w:ind w:firstLine="480" w:firstLineChars="200"/>
        <w:rPr>
          <w:rFonts w:hint="eastAsia" w:ascii="宋体" w:hAnsi="宋体" w:eastAsia="宋体" w:cs="仿宋_GB2312"/>
          <w:color w:val="auto"/>
          <w:sz w:val="24"/>
          <w:highlight w:val="none"/>
        </w:rPr>
      </w:pPr>
      <w:r>
        <w:rPr>
          <w:rFonts w:ascii="宋体" w:hAnsi="宋体" w:eastAsia="宋体" w:cs="仿宋_GB2312"/>
          <w:color w:val="auto"/>
          <w:sz w:val="24"/>
          <w:highlight w:val="none"/>
        </w:rPr>
        <w:t>6</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6</w:t>
      </w:r>
      <w:r>
        <w:rPr>
          <w:rFonts w:hint="eastAsia" w:ascii="仿宋_GB2312"/>
          <w:color w:val="auto"/>
          <w:sz w:val="28"/>
          <w:szCs w:val="28"/>
          <w:highlight w:val="none"/>
        </w:rPr>
        <w:t xml:space="preserve"> </w:t>
      </w:r>
      <w:r>
        <w:rPr>
          <w:rFonts w:hint="eastAsia" w:ascii="宋体" w:hAnsi="宋体" w:eastAsia="宋体" w:cs="仿宋_GB2312"/>
          <w:color w:val="auto"/>
          <w:sz w:val="24"/>
          <w:highlight w:val="none"/>
        </w:rPr>
        <w:t>拟任项目经理在建情况以投标截止时在“湖南省建筑工程监管信息平台”查询信息为准，有在其他项目任关键岗位人员情形的，评标委员会应当否决其投标。</w:t>
      </w:r>
    </w:p>
    <w:p>
      <w:pPr>
        <w:spacing w:line="336"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投标截止时，拟任项目经理在“湖南省建筑工程监管信息平台”之外有在其他项目任关键岗位人员情形的，</w:t>
      </w:r>
      <w:r>
        <w:rPr>
          <w:rFonts w:ascii="宋体" w:hAnsi="宋体" w:eastAsia="宋体" w:cs="仿宋_GB2312"/>
          <w:color w:val="auto"/>
          <w:sz w:val="24"/>
          <w:highlight w:val="none"/>
        </w:rPr>
        <w:t>其奖项、业绩不予计分</w:t>
      </w:r>
      <w:r>
        <w:rPr>
          <w:rFonts w:hint="eastAsia" w:ascii="宋体" w:hAnsi="宋体" w:eastAsia="宋体" w:cs="仿宋_GB2312"/>
          <w:color w:val="auto"/>
          <w:sz w:val="24"/>
          <w:highlight w:val="none"/>
        </w:rPr>
        <w:t>，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并</w:t>
      </w:r>
      <w:r>
        <w:rPr>
          <w:rFonts w:hint="eastAsia" w:ascii="宋体" w:hAnsi="宋体" w:eastAsia="宋体" w:cs="仿宋_GB2312"/>
          <w:color w:val="auto"/>
          <w:sz w:val="24"/>
          <w:highlight w:val="none"/>
        </w:rPr>
        <w:t>提请住房和城乡建设主管部门按规定予以信用评价扣分。</w:t>
      </w:r>
    </w:p>
    <w:p>
      <w:pPr>
        <w:spacing w:line="336" w:lineRule="auto"/>
        <w:ind w:firstLine="480" w:firstLineChars="200"/>
        <w:rPr>
          <w:rFonts w:hint="eastAsia" w:ascii="仿宋_GB2312"/>
          <w:color w:val="auto"/>
          <w:highlight w:val="none"/>
        </w:rPr>
      </w:pPr>
      <w:r>
        <w:rPr>
          <w:rFonts w:hint="eastAsia" w:ascii="宋体" w:hAnsi="宋体" w:eastAsia="宋体" w:cs="仿宋_GB2312"/>
          <w:color w:val="auto"/>
          <w:sz w:val="24"/>
          <w:highlight w:val="none"/>
        </w:rPr>
        <w:t>中标候选人公示期满，拟任项目经理不能按时到岗履职的（含不能从其他项目按期撤离的），招标人取消其中标候选人资格，并提请住房和城乡建设主管部门按规定予以信用评价扣分。中标通知书</w:t>
      </w:r>
      <w:r>
        <w:rPr>
          <w:rFonts w:ascii="宋体" w:hAnsi="宋体" w:eastAsia="宋体" w:cs="仿宋_GB2312"/>
          <w:color w:val="auto"/>
          <w:sz w:val="24"/>
          <w:highlight w:val="none"/>
        </w:rPr>
        <w:t>发放后，</w:t>
      </w:r>
      <w:r>
        <w:rPr>
          <w:rFonts w:hint="eastAsia" w:ascii="宋体" w:hAnsi="宋体" w:eastAsia="宋体" w:cs="仿宋_GB2312"/>
          <w:color w:val="auto"/>
          <w:sz w:val="24"/>
          <w:highlight w:val="none"/>
        </w:rPr>
        <w:t>拟任项目经理不能按时到岗履职的（含不能从其他项目按期撤离的），招标人取消其中标人资格，并提请住房和城乡建设主管部门按规定记录一般不良行为。</w:t>
      </w:r>
    </w:p>
    <w:p>
      <w:pPr>
        <w:rPr>
          <w:rFonts w:hint="eastAsia" w:ascii="仿宋_GB2312"/>
          <w:color w:val="auto"/>
          <w:highlight w:val="none"/>
        </w:rPr>
      </w:pPr>
      <w:r>
        <w:rPr>
          <w:rFonts w:hint="eastAsia" w:ascii="仿宋_GB2312"/>
          <w:color w:val="auto"/>
          <w:highlight w:val="none"/>
        </w:rPr>
        <w:t xml:space="preserve"> </w:t>
      </w:r>
    </w:p>
    <w:p>
      <w:pPr>
        <w:widowControl/>
        <w:jc w:val="left"/>
        <w:rPr>
          <w:rFonts w:ascii="黑体" w:hAnsi="宋体" w:eastAsia="黑体" w:cs="仿宋_GB2312"/>
          <w:color w:val="auto"/>
          <w:highlight w:val="none"/>
        </w:rPr>
        <w:sectPr>
          <w:pgSz w:w="11906" w:h="16838"/>
          <w:pgMar w:top="1417" w:right="1417" w:bottom="1417" w:left="1587" w:header="720" w:footer="720" w:gutter="0"/>
          <w:cols w:space="720" w:num="1"/>
          <w:docGrid w:type="lines" w:linePitch="312" w:charSpace="0"/>
        </w:sectPr>
      </w:pPr>
    </w:p>
    <w:p>
      <w:pPr>
        <w:spacing w:line="480" w:lineRule="exact"/>
        <w:rPr>
          <w:rFonts w:hint="eastAsia" w:ascii="黑体" w:eastAsia="黑体" w:cs="仿宋_GB2312"/>
          <w:color w:val="auto"/>
          <w:highlight w:val="none"/>
        </w:rPr>
      </w:pPr>
      <w:r>
        <w:rPr>
          <w:rFonts w:hint="eastAsia" w:ascii="黑体" w:eastAsia="黑体" w:cs="仿宋_GB2312"/>
          <w:color w:val="auto"/>
          <w:highlight w:val="none"/>
        </w:rPr>
        <w:t>附件5-1</w:t>
      </w:r>
    </w:p>
    <w:p>
      <w:pPr>
        <w:widowControl/>
        <w:shd w:val="clear" w:color="auto" w:fill="FFFFFF"/>
        <w:spacing w:after="156"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投标报价评审表</w:t>
      </w:r>
    </w:p>
    <w:tbl>
      <w:tblPr>
        <w:tblStyle w:val="5"/>
        <w:tblW w:w="14239" w:type="dxa"/>
        <w:jc w:val="center"/>
        <w:tblLayout w:type="fixed"/>
        <w:tblCellMar>
          <w:top w:w="0" w:type="dxa"/>
          <w:left w:w="0" w:type="dxa"/>
          <w:bottom w:w="0" w:type="dxa"/>
          <w:right w:w="0" w:type="dxa"/>
        </w:tblCellMar>
      </w:tblPr>
      <w:tblGrid>
        <w:gridCol w:w="1158"/>
        <w:gridCol w:w="1431"/>
        <w:gridCol w:w="4119"/>
        <w:gridCol w:w="2540"/>
        <w:gridCol w:w="4991"/>
      </w:tblGrid>
      <w:tr>
        <w:tblPrEx>
          <w:tblCellMar>
            <w:top w:w="0" w:type="dxa"/>
            <w:left w:w="0" w:type="dxa"/>
            <w:bottom w:w="0" w:type="dxa"/>
            <w:right w:w="0" w:type="dxa"/>
          </w:tblCellMar>
        </w:tblPrEx>
        <w:trPr>
          <w:trHeight w:val="428"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1431"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评审因素</w:t>
            </w:r>
          </w:p>
        </w:tc>
        <w:tc>
          <w:tcPr>
            <w:tcW w:w="411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评审标准</w:t>
            </w:r>
          </w:p>
        </w:tc>
        <w:tc>
          <w:tcPr>
            <w:tcW w:w="25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计分方式</w:t>
            </w:r>
          </w:p>
        </w:tc>
        <w:tc>
          <w:tcPr>
            <w:tcW w:w="4991"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备注</w:t>
            </w:r>
          </w:p>
        </w:tc>
      </w:tr>
      <w:tr>
        <w:tblPrEx>
          <w:tblCellMar>
            <w:top w:w="0" w:type="dxa"/>
            <w:left w:w="0" w:type="dxa"/>
            <w:bottom w:w="0" w:type="dxa"/>
            <w:right w:w="0" w:type="dxa"/>
          </w:tblCellMar>
        </w:tblPrEx>
        <w:trPr>
          <w:trHeight w:val="1371" w:hRule="atLeast"/>
          <w:jc w:val="center"/>
        </w:trPr>
        <w:tc>
          <w:tcPr>
            <w:tcW w:w="1158"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431" w:type="dxa"/>
            <w:vMerge w:val="restart"/>
            <w:tcBorders>
              <w:top w:val="nil"/>
              <w:left w:val="nil"/>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w:t>
            </w:r>
          </w:p>
        </w:tc>
        <w:tc>
          <w:tcPr>
            <w:tcW w:w="4119" w:type="dxa"/>
            <w:vMerge w:val="restart"/>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投标报价＞ 基准价                </w:t>
            </w:r>
          </w:p>
        </w:tc>
        <w:tc>
          <w:tcPr>
            <w:tcW w:w="2540" w:type="dxa"/>
            <w:vMerge w:val="restart"/>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100-0.5×100L</w:t>
            </w:r>
            <w:r>
              <w:rPr>
                <w:rFonts w:hint="eastAsia" w:ascii="宋体" w:hAnsi="宋体" w:eastAsia="宋体" w:cs="仿宋_GB2312"/>
                <w:color w:val="auto"/>
                <w:sz w:val="24"/>
                <w:highlight w:val="none"/>
                <w:vertAlign w:val="subscript"/>
              </w:rPr>
              <w:t>1</w:t>
            </w:r>
          </w:p>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-100L</w:t>
            </w:r>
            <w:r>
              <w:rPr>
                <w:rFonts w:hint="eastAsia" w:ascii="宋体" w:hAnsi="宋体" w:eastAsia="宋体" w:cs="仿宋_GB2312"/>
                <w:color w:val="auto"/>
                <w:sz w:val="24"/>
                <w:highlight w:val="none"/>
                <w:vertAlign w:val="subscript"/>
              </w:rPr>
              <w:t>2</w:t>
            </w:r>
          </w:p>
        </w:tc>
        <w:tc>
          <w:tcPr>
            <w:tcW w:w="4991" w:type="dxa"/>
            <w:tcBorders>
              <w:top w:val="single" w:color="auto" w:sz="4" w:space="0"/>
              <w:left w:val="nil"/>
              <w:bottom w:val="single" w:color="auto" w:sz="4" w:space="0"/>
              <w:right w:val="single" w:color="auto" w:sz="4" w:space="0"/>
            </w:tcBorders>
            <w:noWrap w:val="0"/>
            <w:vAlign w:val="center"/>
          </w:tcPr>
          <w:p>
            <w:pPr>
              <w:spacing w:line="320" w:lineRule="exact"/>
              <w:ind w:firstLine="600" w:firstLineChars="250"/>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基准价 </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 xml:space="preserve"> 经评审的最低投标价</w:t>
            </w:r>
          </w:p>
          <w:p>
            <w:pPr>
              <w:spacing w:line="320" w:lineRule="exact"/>
              <w:ind w:firstLine="120" w:firstLineChars="5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L</w:t>
            </w:r>
            <w:r>
              <w:rPr>
                <w:rFonts w:hint="eastAsia" w:ascii="宋体" w:hAnsi="宋体" w:eastAsia="宋体" w:cs="仿宋_GB2312"/>
                <w:color w:val="auto"/>
                <w:sz w:val="24"/>
                <w:highlight w:val="none"/>
                <w:vertAlign w:val="subscript"/>
              </w:rPr>
              <w:t>1</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×100%</w:t>
            </w:r>
          </w:p>
          <w:p>
            <w:pPr>
              <w:ind w:firstLine="1200" w:firstLineChars="500"/>
              <w:rPr>
                <w:rFonts w:ascii="Calibri" w:hAnsi="Calibri" w:cs="宋体"/>
                <w:color w:val="auto"/>
                <w:szCs w:val="32"/>
                <w:highlight w:val="none"/>
              </w:rPr>
            </w:pPr>
            <w:r>
              <w:rPr>
                <w:rFonts w:hint="eastAsia" w:ascii="宋体" w:hAnsi="宋体" w:eastAsia="宋体" w:cs="仿宋_GB2312"/>
                <w:color w:val="auto"/>
                <w:sz w:val="24"/>
                <w:highlight w:val="none"/>
              </w:rPr>
              <w:t>经评审的最低投标价</w:t>
            </w:r>
          </w:p>
        </w:tc>
      </w:tr>
      <w:tr>
        <w:tblPrEx>
          <w:tblCellMar>
            <w:top w:w="0" w:type="dxa"/>
            <w:left w:w="0" w:type="dxa"/>
            <w:bottom w:w="0" w:type="dxa"/>
            <w:right w:w="0" w:type="dxa"/>
          </w:tblCellMar>
        </w:tblPrEx>
        <w:trPr>
          <w:trHeight w:val="891"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1431" w:type="dxa"/>
            <w:vMerge w:val="continue"/>
            <w:tcBorders>
              <w:left w:val="nil"/>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4119"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54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4991" w:type="dxa"/>
            <w:tcBorders>
              <w:top w:val="single" w:color="auto" w:sz="4" w:space="0"/>
              <w:left w:val="nil"/>
              <w:bottom w:val="single" w:color="auto" w:sz="4" w:space="0"/>
              <w:right w:val="single" w:color="auto" w:sz="4" w:space="0"/>
            </w:tcBorders>
            <w:noWrap w:val="0"/>
            <w:vAlign w:val="center"/>
          </w:tcPr>
          <w:p>
            <w:pPr>
              <w:spacing w:line="320" w:lineRule="exact"/>
              <w:ind w:firstLine="1440" w:firstLineChars="600"/>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投标报价 </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 xml:space="preserve"> 基准价</w:t>
            </w:r>
          </w:p>
          <w:p>
            <w:pPr>
              <w:spacing w:line="3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L</w:t>
            </w:r>
            <w:r>
              <w:rPr>
                <w:rFonts w:hint="eastAsia" w:ascii="宋体" w:hAnsi="宋体" w:eastAsia="宋体" w:cs="仿宋_GB2312"/>
                <w:color w:val="auto"/>
                <w:sz w:val="24"/>
                <w:highlight w:val="none"/>
                <w:vertAlign w:val="subscript"/>
              </w:rPr>
              <w:t>2</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×100%</w:t>
            </w:r>
          </w:p>
          <w:p>
            <w:pPr>
              <w:spacing w:line="320" w:lineRule="exact"/>
              <w:ind w:left="208" w:leftChars="65" w:firstLine="1200" w:firstLineChars="5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经评审的最低投标价</w:t>
            </w:r>
          </w:p>
        </w:tc>
      </w:tr>
      <w:tr>
        <w:tblPrEx>
          <w:tblCellMar>
            <w:top w:w="0" w:type="dxa"/>
            <w:left w:w="0" w:type="dxa"/>
            <w:bottom w:w="0" w:type="dxa"/>
            <w:right w:w="0" w:type="dxa"/>
          </w:tblCellMar>
        </w:tblPrEx>
        <w:trPr>
          <w:trHeight w:val="735" w:hRule="atLeast"/>
          <w:jc w:val="center"/>
        </w:trPr>
        <w:tc>
          <w:tcPr>
            <w:tcW w:w="1158"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1431" w:type="dxa"/>
            <w:vMerge w:val="continue"/>
            <w:tcBorders>
              <w:left w:val="nil"/>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4119" w:type="dxa"/>
            <w:tcBorders>
              <w:top w:val="single" w:color="auto" w:sz="4" w:space="0"/>
              <w:left w:val="nil"/>
              <w:bottom w:val="nil"/>
              <w:right w:val="single" w:color="auto" w:sz="4" w:space="0"/>
            </w:tcBorders>
            <w:noWrap w:val="0"/>
            <w:vAlign w:val="center"/>
          </w:tcPr>
          <w:p>
            <w:pPr>
              <w:jc w:val="center"/>
              <w:rPr>
                <w:rFonts w:ascii="宋体" w:hAnsi="宋体" w:eastAsia="宋体" w:cs="仿宋_GB2312"/>
                <w:strike/>
                <w:color w:val="auto"/>
                <w:sz w:val="24"/>
                <w:highlight w:val="none"/>
              </w:rPr>
            </w:pPr>
            <w:r>
              <w:rPr>
                <w:rFonts w:hint="eastAsia" w:ascii="宋体" w:hAnsi="宋体" w:eastAsia="宋体" w:cs="仿宋_GB2312"/>
                <w:color w:val="auto"/>
                <w:sz w:val="24"/>
                <w:highlight w:val="none"/>
              </w:rPr>
              <w:t>投标报价=经评审的最低投标价</w:t>
            </w:r>
          </w:p>
        </w:tc>
        <w:tc>
          <w:tcPr>
            <w:tcW w:w="2540" w:type="dxa"/>
            <w:tcBorders>
              <w:top w:val="single" w:color="auto" w:sz="4" w:space="0"/>
              <w:left w:val="nil"/>
              <w:bottom w:val="nil"/>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w:t>
            </w:r>
          </w:p>
        </w:tc>
        <w:tc>
          <w:tcPr>
            <w:tcW w:w="4991" w:type="dxa"/>
            <w:vMerge w:val="restart"/>
            <w:tcBorders>
              <w:top w:val="nil"/>
              <w:left w:val="nil"/>
              <w:bottom w:val="nil"/>
              <w:right w:val="single" w:color="auto" w:sz="4" w:space="0"/>
            </w:tcBorders>
            <w:noWrap w:val="0"/>
            <w:vAlign w:val="center"/>
          </w:tcPr>
          <w:p>
            <w:pPr>
              <w:spacing w:line="240" w:lineRule="exact"/>
              <w:ind w:firstLine="960" w:firstLineChars="400"/>
              <w:rPr>
                <w:rFonts w:ascii="宋体" w:hAnsi="宋体" w:eastAsia="宋体" w:cs="仿宋_GB2312"/>
                <w:color w:val="auto"/>
                <w:sz w:val="24"/>
                <w:highlight w:val="none"/>
              </w:rPr>
            </w:pPr>
          </w:p>
          <w:p>
            <w:pPr>
              <w:spacing w:line="240" w:lineRule="exact"/>
              <w:ind w:firstLine="720" w:firstLineChars="3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投标报价</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经评审的最低投标价</w:t>
            </w:r>
          </w:p>
          <w:p>
            <w:pPr>
              <w:spacing w:line="320" w:lineRule="exact"/>
              <w:ind w:firstLine="120" w:firstLineChars="5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L</w:t>
            </w:r>
            <w:r>
              <w:rPr>
                <w:rFonts w:hint="eastAsia" w:ascii="宋体" w:hAnsi="宋体" w:eastAsia="宋体" w:cs="仿宋_GB2312"/>
                <w:color w:val="auto"/>
                <w:sz w:val="24"/>
                <w:highlight w:val="none"/>
                <w:vertAlign w:val="subscript"/>
              </w:rPr>
              <w:t>3</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×100%</w:t>
            </w:r>
          </w:p>
          <w:p>
            <w:pPr>
              <w:spacing w:line="320" w:lineRule="exact"/>
              <w:ind w:firstLine="1440" w:firstLineChars="6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经评审的最低投标价</w:t>
            </w:r>
          </w:p>
        </w:tc>
      </w:tr>
      <w:tr>
        <w:tblPrEx>
          <w:tblCellMar>
            <w:top w:w="0" w:type="dxa"/>
            <w:left w:w="0" w:type="dxa"/>
            <w:bottom w:w="0" w:type="dxa"/>
            <w:right w:w="0" w:type="dxa"/>
          </w:tblCellMar>
        </w:tblPrEx>
        <w:trPr>
          <w:trHeight w:val="664"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1431" w:type="dxa"/>
            <w:vMerge w:val="continue"/>
            <w:tcBorders>
              <w:left w:val="nil"/>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411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strike/>
                <w:color w:val="auto"/>
                <w:sz w:val="24"/>
                <w:highlight w:val="none"/>
              </w:rPr>
            </w:pPr>
            <w:r>
              <w:rPr>
                <w:rFonts w:hint="eastAsia" w:ascii="宋体" w:hAnsi="宋体" w:eastAsia="宋体" w:cs="仿宋_GB2312"/>
                <w:color w:val="auto"/>
                <w:sz w:val="24"/>
                <w:highlight w:val="none"/>
              </w:rPr>
              <w:t>经评审的最低投标价＜投标报价≤基准价</w:t>
            </w:r>
          </w:p>
        </w:tc>
        <w:tc>
          <w:tcPr>
            <w:tcW w:w="25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strike/>
                <w:color w:val="auto"/>
                <w:sz w:val="24"/>
                <w:highlight w:val="none"/>
              </w:rPr>
            </w:pPr>
            <w:r>
              <w:rPr>
                <w:rFonts w:hint="eastAsia" w:ascii="宋体" w:hAnsi="宋体" w:eastAsia="宋体" w:cs="仿宋_GB2312"/>
                <w:color w:val="auto"/>
                <w:sz w:val="24"/>
                <w:highlight w:val="none"/>
              </w:rPr>
              <w:t>100-0.5×100L</w:t>
            </w:r>
            <w:r>
              <w:rPr>
                <w:rFonts w:hint="eastAsia" w:ascii="宋体" w:hAnsi="宋体" w:eastAsia="宋体" w:cs="仿宋_GB2312"/>
                <w:color w:val="auto"/>
                <w:sz w:val="24"/>
                <w:highlight w:val="none"/>
                <w:vertAlign w:val="subscript"/>
              </w:rPr>
              <w:t>3</w:t>
            </w:r>
          </w:p>
        </w:tc>
        <w:tc>
          <w:tcPr>
            <w:tcW w:w="4991" w:type="dxa"/>
            <w:vMerge w:val="continue"/>
            <w:tcBorders>
              <w:top w:val="nil"/>
              <w:left w:val="nil"/>
              <w:bottom w:val="nil"/>
              <w:right w:val="single" w:color="auto" w:sz="4" w:space="0"/>
            </w:tcBorders>
            <w:noWrap w:val="0"/>
            <w:vAlign w:val="center"/>
          </w:tcPr>
          <w:p>
            <w:pPr>
              <w:widowControl/>
              <w:jc w:val="left"/>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428"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1431"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411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投标报价＜经评审的最低投标价</w:t>
            </w:r>
          </w:p>
        </w:tc>
        <w:tc>
          <w:tcPr>
            <w:tcW w:w="25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0</w:t>
            </w:r>
          </w:p>
        </w:tc>
        <w:tc>
          <w:tcPr>
            <w:tcW w:w="4991" w:type="dxa"/>
            <w:tcBorders>
              <w:top w:val="single" w:color="auto" w:sz="4" w:space="0"/>
              <w:left w:val="nil"/>
              <w:bottom w:val="single" w:color="auto" w:sz="4" w:space="0"/>
              <w:right w:val="single" w:color="auto" w:sz="4" w:space="0"/>
            </w:tcBorders>
            <w:noWrap w:val="0"/>
            <w:vAlign w:val="center"/>
          </w:tcPr>
          <w:p>
            <w:pPr>
              <w:rPr>
                <w:rFonts w:ascii="宋体" w:hAnsi="宋体" w:eastAsia="宋体" w:cs="仿宋_GB2312"/>
                <w:color w:val="auto"/>
                <w:sz w:val="24"/>
                <w:highlight w:val="none"/>
              </w:rPr>
            </w:pPr>
          </w:p>
        </w:tc>
      </w:tr>
    </w:tbl>
    <w:p>
      <w:pPr>
        <w:ind w:left="483" w:leftChars="151"/>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1．适用于经评审的最低投标法。                                                                                                                                                            2．基准价：Y= A×(1-α) ×</w:t>
      </w:r>
      <w:r>
        <w:rPr>
          <w:rFonts w:ascii="宋体" w:hAnsi="宋体" w:eastAsia="宋体" w:cs="仿宋_GB2312"/>
          <w:color w:val="auto"/>
          <w:sz w:val="24"/>
          <w:highlight w:val="none"/>
        </w:rPr>
        <w:t>3</w:t>
      </w:r>
      <w:r>
        <w:rPr>
          <w:rFonts w:hint="eastAsia" w:ascii="宋体" w:hAnsi="宋体" w:eastAsia="宋体" w:cs="仿宋_GB2312"/>
          <w:color w:val="auto"/>
          <w:sz w:val="24"/>
          <w:highlight w:val="none"/>
        </w:rPr>
        <w:t>0%+B×(1-β)×</w:t>
      </w:r>
      <w:r>
        <w:rPr>
          <w:rFonts w:ascii="宋体" w:hAnsi="宋体" w:eastAsia="宋体" w:cs="仿宋_GB2312"/>
          <w:color w:val="auto"/>
          <w:sz w:val="24"/>
          <w:highlight w:val="none"/>
        </w:rPr>
        <w:t>7</w:t>
      </w:r>
      <w:r>
        <w:rPr>
          <w:rFonts w:hint="eastAsia" w:ascii="宋体" w:hAnsi="宋体" w:eastAsia="宋体" w:cs="仿宋_GB2312"/>
          <w:color w:val="auto"/>
          <w:sz w:val="24"/>
          <w:highlight w:val="none"/>
        </w:rPr>
        <w:t>0%</w:t>
      </w:r>
    </w:p>
    <w:p>
      <w:pPr>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其中：</w:t>
      </w:r>
    </w:p>
    <w:p>
      <w:pPr>
        <w:ind w:left="640" w:left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A——进入报价评审环节的有效投标报价中的最低报价</w:t>
      </w:r>
    </w:p>
    <w:p>
      <w:pPr>
        <w:ind w:left="640" w:leftChars="200"/>
        <w:jc w:val="left"/>
        <w:rPr>
          <w:rFonts w:hint="eastAsia" w:ascii="宋体" w:hAnsi="宋体" w:eastAsia="宋体" w:cs="仿宋_GB2312"/>
          <w:color w:val="auto"/>
          <w:sz w:val="24"/>
          <w:highlight w:val="none"/>
        </w:rPr>
      </w:pPr>
      <w:r>
        <w:rPr>
          <w:rFonts w:hint="eastAsia" w:ascii="宋体" w:hAnsi="宋体" w:eastAsia="宋体" w:cs="仿宋_GB2312"/>
          <w:color w:val="auto"/>
          <w:kern w:val="0"/>
          <w:sz w:val="24"/>
          <w:highlight w:val="none"/>
        </w:rPr>
        <w:t>B——最高投标限价</w:t>
      </w:r>
    </w:p>
    <w:p>
      <w:pPr>
        <w:widowControl/>
        <w:shd w:val="clear" w:color="auto" w:fill="FFFFFF"/>
        <w:ind w:firstLine="480"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sz w:val="24"/>
          <w:highlight w:val="none"/>
        </w:rPr>
        <w:t>3．</w:t>
      </w:r>
      <w:r>
        <w:rPr>
          <w:rFonts w:hint="eastAsia" w:ascii="宋体" w:hAnsi="宋体" w:eastAsia="宋体" w:cs="仿宋_GB2312"/>
          <w:color w:val="auto"/>
          <w:kern w:val="0"/>
          <w:sz w:val="24"/>
          <w:highlight w:val="none"/>
        </w:rPr>
        <w:t>α——</w:t>
      </w:r>
      <w:r>
        <w:rPr>
          <w:rFonts w:hint="eastAsia" w:ascii="宋体" w:hAnsi="宋体" w:eastAsia="宋体" w:cs="仿宋_GB2312"/>
          <w:color w:val="auto"/>
          <w:kern w:val="0"/>
          <w:sz w:val="24"/>
          <w:highlight w:val="none"/>
          <w:lang w:val="en-US" w:eastAsia="zh-CN"/>
        </w:rPr>
        <w:t>0、0.5%、</w:t>
      </w:r>
      <w:r>
        <w:rPr>
          <w:rFonts w:hint="eastAsia" w:ascii="宋体" w:hAnsi="宋体" w:eastAsia="宋体" w:cs="仿宋_GB2312"/>
          <w:color w:val="auto"/>
          <w:kern w:val="0"/>
          <w:sz w:val="24"/>
          <w:highlight w:val="none"/>
        </w:rPr>
        <w:t>1%、</w:t>
      </w:r>
      <w:r>
        <w:rPr>
          <w:rFonts w:hint="eastAsia" w:ascii="宋体" w:hAnsi="宋体" w:eastAsia="宋体" w:cs="仿宋_GB2312"/>
          <w:color w:val="auto"/>
          <w:kern w:val="0"/>
          <w:sz w:val="24"/>
          <w:highlight w:val="none"/>
          <w:lang w:val="en-US" w:eastAsia="zh-CN"/>
        </w:rPr>
        <w:t>1.5%、</w:t>
      </w:r>
      <w:r>
        <w:rPr>
          <w:rFonts w:hint="eastAsia"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lang w:val="en-US" w:eastAsia="zh-CN"/>
        </w:rPr>
        <w:t>2.5%、</w:t>
      </w:r>
      <w:r>
        <w:rPr>
          <w:rFonts w:hint="eastAsia" w:ascii="宋体" w:hAnsi="宋体" w:eastAsia="宋体" w:cs="仿宋_GB2312"/>
          <w:color w:val="auto"/>
          <w:kern w:val="0"/>
          <w:sz w:val="24"/>
          <w:highlight w:val="none"/>
        </w:rPr>
        <w:t>3%，开标时随机抽取确定</w:t>
      </w:r>
    </w:p>
    <w:p>
      <w:pPr>
        <w:ind w:firstLine="960" w:firstLineChars="400"/>
        <w:jc w:val="left"/>
        <w:rPr>
          <w:rFonts w:ascii="宋体" w:hAnsi="宋体" w:eastAsia="宋体" w:cs="仿宋_GB2312"/>
          <w:bCs/>
          <w:color w:val="auto"/>
          <w:sz w:val="24"/>
          <w:highlight w:val="none"/>
        </w:rPr>
      </w:pPr>
      <w:r>
        <w:rPr>
          <w:rFonts w:hint="eastAsia" w:ascii="宋体" w:hAnsi="宋体" w:eastAsia="宋体" w:cs="仿宋_GB2312"/>
          <w:color w:val="auto"/>
          <w:kern w:val="0"/>
          <w:sz w:val="24"/>
          <w:highlight w:val="none"/>
        </w:rPr>
        <w:t>β—— 4%、4.5%、5%、5.5%、6%、6.5%、7%、7.5%、8%</w:t>
      </w:r>
    </w:p>
    <w:p>
      <w:pPr>
        <w:ind w:firstLine="480" w:firstLineChars="200"/>
        <w:jc w:val="left"/>
        <w:rPr>
          <w:rFonts w:hint="eastAsia" w:ascii="宋体" w:hAnsi="宋体" w:eastAsia="宋体" w:cs="仿宋_GB2312"/>
          <w:color w:val="auto"/>
          <w:sz w:val="24"/>
          <w:highlight w:val="none"/>
        </w:rPr>
      </w:pPr>
      <w:r>
        <w:rPr>
          <w:rFonts w:ascii="宋体" w:hAnsi="宋体" w:eastAsia="宋体" w:cs="仿宋_GB2312"/>
          <w:bCs/>
          <w:color w:val="auto"/>
          <w:sz w:val="24"/>
          <w:highlight w:val="none"/>
        </w:rPr>
        <w:t>4.</w:t>
      </w:r>
      <w:r>
        <w:rPr>
          <w:rFonts w:hint="eastAsia" w:ascii="宋体" w:hAnsi="宋体" w:eastAsia="宋体" w:cs="仿宋_GB2312"/>
          <w:color w:val="auto"/>
          <w:sz w:val="24"/>
          <w:highlight w:val="none"/>
        </w:rPr>
        <w:t>经评审的最低投标价，为进入报价评审环节的有效投标报价中大于或者等于</w:t>
      </w:r>
      <w:r>
        <w:rPr>
          <w:rFonts w:ascii="宋体" w:hAnsi="宋体" w:eastAsia="宋体" w:cs="仿宋_GB2312"/>
          <w:color w:val="auto"/>
          <w:sz w:val="24"/>
          <w:highlight w:val="none"/>
        </w:rPr>
        <w:t>Y</w:t>
      </w:r>
      <w:r>
        <w:rPr>
          <w:rFonts w:hint="eastAsia" w:ascii="宋体" w:hAnsi="宋体" w:eastAsia="宋体" w:cs="仿宋_GB2312"/>
          <w:color w:val="auto"/>
          <w:sz w:val="24"/>
          <w:highlight w:val="none"/>
        </w:rPr>
        <w:t>的投标报价中的最低报价</w:t>
      </w:r>
    </w:p>
    <w:p>
      <w:pPr>
        <w:widowControl/>
        <w:shd w:val="clear" w:color="auto" w:fill="FFFFFF"/>
        <w:ind w:firstLine="480" w:firstLineChars="200"/>
        <w:rPr>
          <w:rFonts w:ascii="黑体" w:hAnsi="宋体" w:eastAsia="黑体" w:cs="仿宋_GB2312"/>
          <w:color w:val="auto"/>
          <w:highlight w:val="none"/>
        </w:rPr>
      </w:pPr>
      <w:r>
        <w:rPr>
          <w:rFonts w:ascii="宋体" w:hAnsi="宋体" w:eastAsia="宋体" w:cs="仿宋_GB2312"/>
          <w:color w:val="auto"/>
          <w:sz w:val="24"/>
          <w:highlight w:val="none"/>
        </w:rPr>
        <w:t>5</w:t>
      </w:r>
      <w:r>
        <w:rPr>
          <w:rFonts w:hint="eastAsia" w:ascii="宋体" w:hAnsi="宋体" w:eastAsia="宋体" w:cs="仿宋_GB2312"/>
          <w:color w:val="auto"/>
          <w:sz w:val="24"/>
          <w:highlight w:val="none"/>
        </w:rPr>
        <w:t>．投标报价＜经评审的最低投标价的，其报价分为0</w:t>
      </w:r>
      <w:r>
        <w:rPr>
          <w:rFonts w:hint="eastAsia" w:ascii="仿宋_GB2312"/>
          <w:color w:val="auto"/>
          <w:highlight w:val="none"/>
        </w:rPr>
        <w:t>。</w:t>
      </w:r>
    </w:p>
    <w:p>
      <w:pPr>
        <w:widowControl/>
        <w:jc w:val="left"/>
        <w:rPr>
          <w:rFonts w:hint="eastAsia" w:ascii="黑体" w:hAnsi="宋体" w:eastAsia="黑体" w:cs="仿宋_GB2312"/>
          <w:color w:val="auto"/>
          <w:highlight w:val="none"/>
        </w:rPr>
        <w:sectPr>
          <w:pgSz w:w="16838" w:h="11906" w:orient="landscape"/>
          <w:pgMar w:top="1587" w:right="1417" w:bottom="1417" w:left="1417" w:header="720" w:footer="720" w:gutter="0"/>
          <w:cols w:space="720" w:num="1"/>
          <w:docGrid w:type="lines" w:linePitch="312" w:charSpace="0"/>
        </w:sectPr>
      </w:pPr>
    </w:p>
    <w:p>
      <w:pPr>
        <w:spacing w:line="480" w:lineRule="exact"/>
        <w:rPr>
          <w:rFonts w:hint="eastAsia" w:ascii="黑体" w:eastAsia="黑体" w:cs="仿宋_GB2312"/>
          <w:color w:val="auto"/>
          <w:highlight w:val="none"/>
        </w:rPr>
      </w:pPr>
      <w:r>
        <w:rPr>
          <w:rFonts w:hint="eastAsia" w:ascii="黑体" w:eastAsia="黑体" w:cs="仿宋_GB2312"/>
          <w:color w:val="auto"/>
          <w:highlight w:val="none"/>
        </w:rPr>
        <w:t>附件5-</w:t>
      </w:r>
      <w:r>
        <w:rPr>
          <w:rFonts w:ascii="黑体" w:eastAsia="黑体" w:cs="仿宋_GB2312"/>
          <w:color w:val="auto"/>
          <w:highlight w:val="none"/>
        </w:rPr>
        <w:t>2</w:t>
      </w:r>
    </w:p>
    <w:p>
      <w:pPr>
        <w:widowControl/>
        <w:shd w:val="clear" w:color="auto" w:fill="FFFFFF"/>
        <w:spacing w:after="287" w:afterLines="50"/>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投标报价评审表</w:t>
      </w:r>
    </w:p>
    <w:tbl>
      <w:tblPr>
        <w:tblStyle w:val="5"/>
        <w:tblW w:w="11339" w:type="dxa"/>
        <w:jc w:val="center"/>
        <w:tblLayout w:type="fixed"/>
        <w:tblCellMar>
          <w:top w:w="0" w:type="dxa"/>
          <w:left w:w="0" w:type="dxa"/>
          <w:bottom w:w="0" w:type="dxa"/>
          <w:right w:w="0" w:type="dxa"/>
        </w:tblCellMar>
      </w:tblPr>
      <w:tblGrid>
        <w:gridCol w:w="934"/>
        <w:gridCol w:w="1346"/>
        <w:gridCol w:w="2416"/>
        <w:gridCol w:w="2112"/>
        <w:gridCol w:w="4531"/>
      </w:tblGrid>
      <w:tr>
        <w:tblPrEx>
          <w:tblCellMar>
            <w:top w:w="0" w:type="dxa"/>
            <w:left w:w="0" w:type="dxa"/>
            <w:bottom w:w="0" w:type="dxa"/>
            <w:right w:w="0" w:type="dxa"/>
          </w:tblCellMar>
        </w:tblPrEx>
        <w:trPr>
          <w:trHeight w:val="624"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1346"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评审因素</w:t>
            </w:r>
          </w:p>
        </w:tc>
        <w:tc>
          <w:tcPr>
            <w:tcW w:w="2416"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评审标准</w:t>
            </w:r>
          </w:p>
        </w:tc>
        <w:tc>
          <w:tcPr>
            <w:tcW w:w="2112"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计分方式</w:t>
            </w:r>
          </w:p>
        </w:tc>
        <w:tc>
          <w:tcPr>
            <w:tcW w:w="4531"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备注</w:t>
            </w:r>
          </w:p>
        </w:tc>
      </w:tr>
      <w:tr>
        <w:tblPrEx>
          <w:tblCellMar>
            <w:top w:w="0" w:type="dxa"/>
            <w:left w:w="0" w:type="dxa"/>
            <w:bottom w:w="0" w:type="dxa"/>
            <w:right w:w="0" w:type="dxa"/>
          </w:tblCellMar>
        </w:tblPrEx>
        <w:trPr>
          <w:trHeight w:val="705" w:hRule="atLeast"/>
          <w:jc w:val="center"/>
        </w:trPr>
        <w:tc>
          <w:tcPr>
            <w:tcW w:w="934" w:type="dxa"/>
            <w:tcBorders>
              <w:top w:val="nil"/>
              <w:left w:val="single" w:color="auto" w:sz="4" w:space="0"/>
              <w:bottom w:val="single" w:color="auto" w:sz="4" w:space="0"/>
              <w:right w:val="nil"/>
            </w:tcBorders>
            <w:noWrap w:val="0"/>
            <w:vAlign w:val="center"/>
          </w:tcPr>
          <w:p>
            <w:pPr>
              <w:rPr>
                <w:rFonts w:ascii="宋体" w:hAnsi="宋体" w:eastAsia="宋体" w:cs="仿宋_GB2312"/>
                <w:color w:val="auto"/>
                <w:sz w:val="24"/>
                <w:highlight w:val="none"/>
              </w:rPr>
            </w:pPr>
            <w:r>
              <w:rPr>
                <w:rFonts w:ascii="宋体" w:hAnsi="宋体" w:eastAsia="宋体" w:cs="仿宋_GB2312"/>
                <w:color w:val="auto"/>
                <w:sz w:val="24"/>
                <w:highlight w:val="none"/>
              </w:rPr>
              <w:drawing>
                <wp:inline distT="0" distB="0" distL="114300" distR="114300">
                  <wp:extent cx="19050" cy="8255"/>
                  <wp:effectExtent l="0" t="0" r="0" b="0"/>
                  <wp:docPr id="1" name="图片 1"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
                          <pic:cNvPicPr>
                            <a:picLocks noChangeAspect="1"/>
                          </pic:cNvPicPr>
                        </pic:nvPicPr>
                        <pic:blipFill>
                          <a:blip r:embed="rId8"/>
                          <a:stretch>
                            <a:fillRect/>
                          </a:stretch>
                        </pic:blipFill>
                        <pic:spPr>
                          <a:xfrm>
                            <a:off x="0" y="0"/>
                            <a:ext cx="19050" cy="8255"/>
                          </a:xfrm>
                          <a:prstGeom prst="rect">
                            <a:avLst/>
                          </a:prstGeom>
                          <a:noFill/>
                          <a:ln>
                            <a:noFill/>
                          </a:ln>
                        </pic:spPr>
                      </pic:pic>
                    </a:graphicData>
                  </a:graphic>
                </wp:inline>
              </w:drawing>
            </w:r>
          </w:p>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34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w:t>
            </w:r>
          </w:p>
        </w:tc>
        <w:tc>
          <w:tcPr>
            <w:tcW w:w="2416"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投标报价＞基准价</w:t>
            </w:r>
          </w:p>
        </w:tc>
        <w:tc>
          <w:tcPr>
            <w:tcW w:w="2112"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100-100L</w:t>
            </w:r>
          </w:p>
        </w:tc>
        <w:tc>
          <w:tcPr>
            <w:tcW w:w="4531" w:type="dxa"/>
            <w:vMerge w:val="restart"/>
            <w:tcBorders>
              <w:top w:val="nil"/>
              <w:left w:val="nil"/>
              <w:bottom w:val="single" w:color="auto" w:sz="4" w:space="0"/>
              <w:right w:val="single" w:color="auto" w:sz="4" w:space="0"/>
            </w:tcBorders>
            <w:noWrap w:val="0"/>
            <w:vAlign w:val="center"/>
          </w:tcPr>
          <w:p>
            <w:pPr>
              <w:spacing w:line="280" w:lineRule="exact"/>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        投标报价 - 基准价</w:t>
            </w:r>
          </w:p>
          <w:p>
            <w:pPr>
              <w:spacing w:line="280" w:lineRule="exact"/>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   L=︱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×100%</w:t>
            </w:r>
          </w:p>
          <w:p>
            <w:pPr>
              <w:spacing w:line="280" w:lineRule="exact"/>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              基准价</w:t>
            </w:r>
          </w:p>
        </w:tc>
      </w:tr>
      <w:tr>
        <w:tblPrEx>
          <w:tblCellMar>
            <w:top w:w="0" w:type="dxa"/>
            <w:left w:w="0" w:type="dxa"/>
            <w:bottom w:w="0" w:type="dxa"/>
            <w:right w:w="0" w:type="dxa"/>
          </w:tblCellMar>
        </w:tblPrEx>
        <w:trPr>
          <w:trHeight w:val="615"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13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416"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投标报价=基准价</w:t>
            </w:r>
          </w:p>
        </w:tc>
        <w:tc>
          <w:tcPr>
            <w:tcW w:w="2112"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100分</w:t>
            </w:r>
          </w:p>
        </w:tc>
        <w:tc>
          <w:tcPr>
            <w:tcW w:w="453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r>
      <w:tr>
        <w:tblPrEx>
          <w:tblCellMar>
            <w:top w:w="0" w:type="dxa"/>
            <w:left w:w="0" w:type="dxa"/>
            <w:bottom w:w="0" w:type="dxa"/>
            <w:right w:w="0" w:type="dxa"/>
          </w:tblCellMar>
        </w:tblPrEx>
        <w:trPr>
          <w:trHeight w:val="584" w:hRule="atLeast"/>
          <w:jc w:val="center"/>
        </w:trPr>
        <w:tc>
          <w:tcPr>
            <w:tcW w:w="93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13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c>
          <w:tcPr>
            <w:tcW w:w="2416"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投标报价＜基准价</w:t>
            </w:r>
          </w:p>
        </w:tc>
        <w:tc>
          <w:tcPr>
            <w:tcW w:w="2112" w:type="dxa"/>
            <w:tcBorders>
              <w:top w:val="nil"/>
              <w:left w:val="nil"/>
              <w:bottom w:val="single" w:color="auto" w:sz="4" w:space="0"/>
              <w:right w:val="single" w:color="auto" w:sz="4" w:space="0"/>
            </w:tcBorders>
            <w:noWrap w:val="0"/>
            <w:vAlign w:val="center"/>
          </w:tcPr>
          <w:p>
            <w:pPr>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100</w:t>
            </w:r>
            <w:r>
              <w:rPr>
                <w:rFonts w:ascii="宋体" w:hAnsi="宋体" w:eastAsia="宋体" w:cs="仿宋_GB2312"/>
                <w:color w:val="auto"/>
                <w:sz w:val="24"/>
                <w:highlight w:val="none"/>
              </w:rPr>
              <w:t>-</w:t>
            </w:r>
            <w:r>
              <w:rPr>
                <w:rFonts w:hint="eastAsia" w:ascii="宋体" w:hAnsi="宋体" w:eastAsia="宋体" w:cs="仿宋_GB2312"/>
                <w:color w:val="auto"/>
                <w:sz w:val="24"/>
                <w:highlight w:val="none"/>
              </w:rPr>
              <w:t>0.5×100L</w:t>
            </w:r>
          </w:p>
        </w:tc>
        <w:tc>
          <w:tcPr>
            <w:tcW w:w="453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eastAsia="宋体" w:cs="仿宋_GB2312"/>
                <w:color w:val="auto"/>
                <w:sz w:val="24"/>
                <w:highlight w:val="none"/>
              </w:rPr>
            </w:pPr>
          </w:p>
        </w:tc>
      </w:tr>
    </w:tbl>
    <w:p>
      <w:pPr>
        <w:widowControl/>
        <w:shd w:val="clear" w:color="auto" w:fill="FFFFFF"/>
        <w:ind w:left="468" w:leftChars="150" w:firstLine="221" w:firstLineChars="95"/>
        <w:rPr>
          <w:rFonts w:hint="eastAsia" w:ascii="宋体" w:hAnsi="宋体" w:eastAsia="宋体" w:cs="仿宋_GB2312"/>
          <w:color w:val="auto"/>
          <w:kern w:val="0"/>
          <w:sz w:val="24"/>
          <w:highlight w:val="none"/>
        </w:rPr>
      </w:pPr>
      <w:r>
        <w:rPr>
          <w:rFonts w:hint="eastAsia" w:ascii="宋体" w:hAnsi="宋体" w:eastAsia="宋体" w:cs="仿宋_GB2312"/>
          <w:color w:val="auto"/>
          <w:sz w:val="24"/>
          <w:highlight w:val="none"/>
        </w:rPr>
        <w:t>1．适用于</w:t>
      </w:r>
      <w:r>
        <w:rPr>
          <w:rFonts w:hint="eastAsia" w:ascii="宋体" w:hAnsi="宋体" w:eastAsia="宋体" w:cs="仿宋_GB2312"/>
          <w:color w:val="auto"/>
          <w:kern w:val="0"/>
          <w:sz w:val="24"/>
          <w:highlight w:val="none"/>
        </w:rPr>
        <w:t>采用综合</w:t>
      </w:r>
      <w:r>
        <w:rPr>
          <w:rFonts w:ascii="宋体" w:hAnsi="宋体" w:eastAsia="宋体" w:cs="仿宋_GB2312"/>
          <w:color w:val="auto"/>
          <w:kern w:val="0"/>
          <w:sz w:val="24"/>
          <w:highlight w:val="none"/>
        </w:rPr>
        <w:t>评估法的项目</w:t>
      </w:r>
      <w:r>
        <w:rPr>
          <w:rFonts w:hint="eastAsia" w:ascii="宋体" w:hAnsi="宋体" w:eastAsia="宋体" w:cs="仿宋_GB2312"/>
          <w:color w:val="auto"/>
          <w:kern w:val="0"/>
          <w:sz w:val="24"/>
          <w:highlight w:val="none"/>
        </w:rPr>
        <w:t>；</w:t>
      </w:r>
    </w:p>
    <w:p>
      <w:pPr>
        <w:ind w:firstLine="696" w:firstLineChars="300"/>
        <w:jc w:val="left"/>
        <w:rPr>
          <w:rFonts w:hint="eastAsia" w:ascii="宋体" w:hAnsi="宋体" w:eastAsia="宋体" w:cs="仿宋_GB2312"/>
          <w:strike/>
          <w:color w:val="auto"/>
          <w:sz w:val="24"/>
          <w:highlight w:val="none"/>
        </w:rPr>
      </w:pPr>
      <w:r>
        <w:rPr>
          <w:rFonts w:ascii="宋体" w:hAnsi="宋体" w:eastAsia="宋体" w:cs="仿宋_GB2312"/>
          <w:color w:val="auto"/>
          <w:sz w:val="24"/>
          <w:highlight w:val="none"/>
        </w:rPr>
        <w:t>2</w:t>
      </w:r>
      <w:r>
        <w:rPr>
          <w:rFonts w:hint="eastAsia" w:ascii="宋体" w:hAnsi="宋体" w:eastAsia="宋体" w:cs="仿宋_GB2312"/>
          <w:color w:val="auto"/>
          <w:sz w:val="24"/>
          <w:highlight w:val="none"/>
        </w:rPr>
        <w:t>.基准价： Y= A×(1-α)×60%+B×(1-β)×40%</w:t>
      </w:r>
    </w:p>
    <w:p>
      <w:pPr>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A——</w:t>
      </w:r>
      <w:r>
        <w:rPr>
          <w:rFonts w:hint="eastAsia" w:ascii="宋体" w:hAnsi="宋体" w:eastAsia="宋体" w:cs="仿宋_GB2312"/>
          <w:color w:val="auto"/>
          <w:sz w:val="24"/>
          <w:highlight w:val="none"/>
        </w:rPr>
        <w:t>进入报价评审环节的有效投标报价</w:t>
      </w:r>
      <w:r>
        <w:rPr>
          <w:rFonts w:hint="eastAsia" w:ascii="宋体" w:hAnsi="宋体" w:eastAsia="宋体" w:cs="仿宋_GB2312"/>
          <w:color w:val="auto"/>
          <w:kern w:val="0"/>
          <w:sz w:val="24"/>
          <w:highlight w:val="none"/>
        </w:rPr>
        <w:t>中，大于或等于X（1－10%）的报价的算术平均值</w:t>
      </w:r>
    </w:p>
    <w:p>
      <w:pPr>
        <w:ind w:firstLine="464" w:firstLineChars="200"/>
        <w:jc w:val="left"/>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X——</w:t>
      </w:r>
      <w:r>
        <w:rPr>
          <w:rFonts w:hint="eastAsia" w:ascii="宋体" w:hAnsi="宋体" w:eastAsia="宋体" w:cs="仿宋_GB2312"/>
          <w:color w:val="auto"/>
          <w:sz w:val="24"/>
          <w:highlight w:val="none"/>
        </w:rPr>
        <w:t>进入报价评审环节的有效投标报价</w:t>
      </w:r>
      <w:r>
        <w:rPr>
          <w:rFonts w:hint="eastAsia" w:ascii="宋体" w:hAnsi="宋体" w:eastAsia="宋体" w:cs="仿宋_GB2312"/>
          <w:color w:val="auto"/>
          <w:kern w:val="0"/>
          <w:sz w:val="24"/>
          <w:highlight w:val="none"/>
        </w:rPr>
        <w:t>算术平均值</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X=（X</w:t>
      </w:r>
      <w:r>
        <w:rPr>
          <w:rFonts w:hint="eastAsia" w:ascii="宋体" w:hAnsi="宋体" w:eastAsia="宋体" w:cs="仿宋_GB2312"/>
          <w:color w:val="auto"/>
          <w:kern w:val="0"/>
          <w:sz w:val="24"/>
          <w:highlight w:val="none"/>
          <w:vertAlign w:val="subscript"/>
        </w:rPr>
        <w:t>1</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2</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n</w:t>
      </w:r>
      <w:r>
        <w:rPr>
          <w:rFonts w:hint="eastAsia" w:ascii="宋体" w:hAnsi="宋体" w:eastAsia="宋体" w:cs="仿宋_GB2312"/>
          <w:color w:val="auto"/>
          <w:kern w:val="0"/>
          <w:sz w:val="24"/>
          <w:highlight w:val="none"/>
        </w:rPr>
        <w:t>-</w:t>
      </w:r>
      <w:r>
        <w:rPr>
          <w:rFonts w:hint="eastAsia" w:ascii="宋体" w:hAnsi="宋体" w:eastAsia="宋体" w:cs="仿宋_GB2312"/>
          <w:color w:val="auto"/>
          <w:kern w:val="0"/>
          <w:sz w:val="24"/>
          <w:highlight w:val="none"/>
          <w:vertAlign w:val="subscript"/>
        </w:rPr>
        <w:t>1</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n</w:t>
      </w:r>
      <w:r>
        <w:rPr>
          <w:rFonts w:hint="eastAsia" w:ascii="宋体" w:hAnsi="宋体" w:eastAsia="宋体" w:cs="仿宋_GB2312"/>
          <w:color w:val="auto"/>
          <w:kern w:val="0"/>
          <w:sz w:val="24"/>
          <w:highlight w:val="none"/>
        </w:rPr>
        <w:t>）／n</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n——</w:t>
      </w:r>
      <w:r>
        <w:rPr>
          <w:rFonts w:hint="eastAsia" w:ascii="宋体" w:hAnsi="宋体" w:eastAsia="宋体" w:cs="仿宋_GB2312"/>
          <w:color w:val="auto"/>
          <w:sz w:val="24"/>
          <w:highlight w:val="none"/>
        </w:rPr>
        <w:t>进入报价评审环节的有效投标报价</w:t>
      </w:r>
      <w:r>
        <w:rPr>
          <w:rFonts w:hint="eastAsia" w:ascii="宋体" w:hAnsi="宋体" w:eastAsia="宋体" w:cs="仿宋_GB2312"/>
          <w:color w:val="auto"/>
          <w:kern w:val="0"/>
          <w:sz w:val="24"/>
          <w:highlight w:val="none"/>
        </w:rPr>
        <w:t>个数</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1</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2</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n-1</w:t>
      </w:r>
      <w:r>
        <w:rPr>
          <w:rFonts w:hint="eastAsia" w:ascii="宋体" w:hAnsi="宋体" w:eastAsia="宋体" w:cs="仿宋_GB2312"/>
          <w:color w:val="auto"/>
          <w:kern w:val="0"/>
          <w:sz w:val="24"/>
          <w:highlight w:val="none"/>
        </w:rPr>
        <w:t>、X</w:t>
      </w:r>
      <w:r>
        <w:rPr>
          <w:rFonts w:hint="eastAsia" w:ascii="宋体" w:hAnsi="宋体" w:eastAsia="宋体" w:cs="仿宋_GB2312"/>
          <w:color w:val="auto"/>
          <w:kern w:val="0"/>
          <w:sz w:val="24"/>
          <w:highlight w:val="none"/>
          <w:vertAlign w:val="subscript"/>
        </w:rPr>
        <w:t>n</w:t>
      </w:r>
      <w:r>
        <w:rPr>
          <w:rFonts w:hint="eastAsia" w:ascii="宋体" w:hAnsi="宋体" w:eastAsia="宋体" w:cs="仿宋_GB2312"/>
          <w:color w:val="auto"/>
          <w:kern w:val="0"/>
          <w:sz w:val="24"/>
          <w:highlight w:val="none"/>
        </w:rPr>
        <w:t>——</w:t>
      </w:r>
      <w:r>
        <w:rPr>
          <w:rFonts w:hint="eastAsia" w:ascii="宋体" w:hAnsi="宋体" w:eastAsia="宋体" w:cs="仿宋_GB2312"/>
          <w:color w:val="auto"/>
          <w:sz w:val="24"/>
          <w:highlight w:val="none"/>
        </w:rPr>
        <w:t>进入报价评审环节的有效投标报价</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B——最高投标限价</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α——</w:t>
      </w:r>
      <w:r>
        <w:rPr>
          <w:rFonts w:hint="eastAsia" w:ascii="宋体" w:hAnsi="宋体" w:eastAsia="宋体" w:cs="仿宋_GB2312"/>
          <w:color w:val="auto"/>
          <w:kern w:val="0"/>
          <w:sz w:val="24"/>
          <w:highlight w:val="none"/>
          <w:lang w:val="en-US" w:eastAsia="zh-CN"/>
        </w:rPr>
        <w:t>0、0.5%、</w:t>
      </w:r>
      <w:r>
        <w:rPr>
          <w:rFonts w:hint="eastAsia" w:ascii="宋体" w:hAnsi="宋体" w:eastAsia="宋体" w:cs="仿宋_GB2312"/>
          <w:color w:val="auto"/>
          <w:kern w:val="0"/>
          <w:sz w:val="24"/>
          <w:highlight w:val="none"/>
        </w:rPr>
        <w:t>1%、</w:t>
      </w:r>
      <w:r>
        <w:rPr>
          <w:rFonts w:hint="eastAsia" w:ascii="宋体" w:hAnsi="宋体" w:eastAsia="宋体" w:cs="仿宋_GB2312"/>
          <w:color w:val="auto"/>
          <w:kern w:val="0"/>
          <w:sz w:val="24"/>
          <w:highlight w:val="none"/>
          <w:lang w:val="en-US" w:eastAsia="zh-CN"/>
        </w:rPr>
        <w:t>1.5%、</w:t>
      </w:r>
      <w:r>
        <w:rPr>
          <w:rFonts w:hint="eastAsia" w:ascii="宋体" w:hAnsi="宋体" w:eastAsia="宋体" w:cs="仿宋_GB2312"/>
          <w:color w:val="auto"/>
          <w:kern w:val="0"/>
          <w:sz w:val="24"/>
          <w:highlight w:val="none"/>
        </w:rPr>
        <w:t>2%、</w:t>
      </w:r>
      <w:r>
        <w:rPr>
          <w:rFonts w:hint="eastAsia" w:ascii="宋体" w:hAnsi="宋体" w:eastAsia="宋体" w:cs="仿宋_GB2312"/>
          <w:color w:val="auto"/>
          <w:kern w:val="0"/>
          <w:sz w:val="24"/>
          <w:highlight w:val="none"/>
          <w:lang w:val="en-US" w:eastAsia="zh-CN"/>
        </w:rPr>
        <w:t>2.5%、</w:t>
      </w:r>
      <w:r>
        <w:rPr>
          <w:rFonts w:hint="eastAsia" w:ascii="宋体" w:hAnsi="宋体" w:eastAsia="宋体" w:cs="仿宋_GB2312"/>
          <w:color w:val="auto"/>
          <w:kern w:val="0"/>
          <w:sz w:val="24"/>
          <w:highlight w:val="none"/>
        </w:rPr>
        <w:t>3%、</w:t>
      </w:r>
      <w:r>
        <w:rPr>
          <w:rFonts w:hint="eastAsia" w:ascii="宋体" w:hAnsi="宋体" w:eastAsia="宋体" w:cs="仿宋_GB2312"/>
          <w:color w:val="auto"/>
          <w:kern w:val="0"/>
          <w:sz w:val="24"/>
          <w:highlight w:val="none"/>
          <w:lang w:val="en-US" w:eastAsia="zh-CN"/>
        </w:rPr>
        <w:t>3.5%、</w:t>
      </w:r>
      <w:r>
        <w:rPr>
          <w:rFonts w:hint="eastAsia" w:ascii="宋体" w:hAnsi="宋体" w:eastAsia="宋体" w:cs="仿宋_GB2312"/>
          <w:color w:val="auto"/>
          <w:kern w:val="0"/>
          <w:sz w:val="24"/>
          <w:highlight w:val="none"/>
        </w:rPr>
        <w:t>4%，开标时随机抽取确定</w:t>
      </w:r>
    </w:p>
    <w:p>
      <w:pPr>
        <w:widowControl/>
        <w:shd w:val="clear" w:color="auto" w:fill="FFFFFF"/>
        <w:ind w:firstLine="464"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β—— 4%、4.5%、5%、5.5%、6%、6.5%、7%、7.5%、8%，</w:t>
      </w:r>
    </w:p>
    <w:sectPr>
      <w:footerReference r:id="rId6" w:type="first"/>
      <w:pgSz w:w="11907" w:h="16840"/>
      <w:pgMar w:top="2098" w:right="1588" w:bottom="2098" w:left="1588" w:header="1701" w:footer="1701" w:gutter="0"/>
      <w:cols w:space="720" w:num="1"/>
      <w:titlePg/>
      <w:docGrid w:type="linesAndChar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3580C"/>
    <w:multiLevelType w:val="multilevel"/>
    <w:tmpl w:val="1AD3580C"/>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2QwZjIwYzYzNTYxMzU0ODU2ZDU5YmFjZTE5YWUifQ=="/>
  </w:docVars>
  <w:rsids>
    <w:rsidRoot w:val="00775BB3"/>
    <w:rsid w:val="00005F30"/>
    <w:rsid w:val="000074B9"/>
    <w:rsid w:val="000127A6"/>
    <w:rsid w:val="00056E91"/>
    <w:rsid w:val="0009441D"/>
    <w:rsid w:val="000A0FE1"/>
    <w:rsid w:val="000A21E0"/>
    <w:rsid w:val="000E5A8A"/>
    <w:rsid w:val="00112450"/>
    <w:rsid w:val="001201FE"/>
    <w:rsid w:val="001372C4"/>
    <w:rsid w:val="00150FEC"/>
    <w:rsid w:val="001513FA"/>
    <w:rsid w:val="0019686B"/>
    <w:rsid w:val="001A3AF7"/>
    <w:rsid w:val="001F2977"/>
    <w:rsid w:val="00204EA8"/>
    <w:rsid w:val="00217BEA"/>
    <w:rsid w:val="00233F81"/>
    <w:rsid w:val="00251693"/>
    <w:rsid w:val="00253980"/>
    <w:rsid w:val="00281F83"/>
    <w:rsid w:val="00295112"/>
    <w:rsid w:val="00296A37"/>
    <w:rsid w:val="002A3A01"/>
    <w:rsid w:val="002B469E"/>
    <w:rsid w:val="002D3AC8"/>
    <w:rsid w:val="00332330"/>
    <w:rsid w:val="00335162"/>
    <w:rsid w:val="00383717"/>
    <w:rsid w:val="00396B1C"/>
    <w:rsid w:val="003A2478"/>
    <w:rsid w:val="003F26A3"/>
    <w:rsid w:val="00404255"/>
    <w:rsid w:val="00405478"/>
    <w:rsid w:val="00423478"/>
    <w:rsid w:val="00452F8C"/>
    <w:rsid w:val="004655C6"/>
    <w:rsid w:val="0047173C"/>
    <w:rsid w:val="0048607E"/>
    <w:rsid w:val="004873FC"/>
    <w:rsid w:val="00494E9B"/>
    <w:rsid w:val="004F56BF"/>
    <w:rsid w:val="00514BC4"/>
    <w:rsid w:val="00550C97"/>
    <w:rsid w:val="00554DC3"/>
    <w:rsid w:val="00572BC0"/>
    <w:rsid w:val="0058148A"/>
    <w:rsid w:val="005A33E5"/>
    <w:rsid w:val="005A424E"/>
    <w:rsid w:val="005B6E14"/>
    <w:rsid w:val="005E1AE6"/>
    <w:rsid w:val="00603659"/>
    <w:rsid w:val="00607156"/>
    <w:rsid w:val="00633798"/>
    <w:rsid w:val="006425B2"/>
    <w:rsid w:val="00660196"/>
    <w:rsid w:val="0068670B"/>
    <w:rsid w:val="006A6E7B"/>
    <w:rsid w:val="006D0515"/>
    <w:rsid w:val="006F1173"/>
    <w:rsid w:val="006F24D5"/>
    <w:rsid w:val="006F445E"/>
    <w:rsid w:val="00755094"/>
    <w:rsid w:val="0076645B"/>
    <w:rsid w:val="00775BB3"/>
    <w:rsid w:val="00777679"/>
    <w:rsid w:val="00780FA6"/>
    <w:rsid w:val="007A50C3"/>
    <w:rsid w:val="007B3863"/>
    <w:rsid w:val="007B6F40"/>
    <w:rsid w:val="007C02D4"/>
    <w:rsid w:val="007D5201"/>
    <w:rsid w:val="007F0ABE"/>
    <w:rsid w:val="00800910"/>
    <w:rsid w:val="008259C7"/>
    <w:rsid w:val="00852CB5"/>
    <w:rsid w:val="00857AD7"/>
    <w:rsid w:val="00861288"/>
    <w:rsid w:val="00864C3E"/>
    <w:rsid w:val="00875F0D"/>
    <w:rsid w:val="008F6067"/>
    <w:rsid w:val="009230AD"/>
    <w:rsid w:val="00935824"/>
    <w:rsid w:val="00964793"/>
    <w:rsid w:val="00980B03"/>
    <w:rsid w:val="009862D7"/>
    <w:rsid w:val="00995FF4"/>
    <w:rsid w:val="00996241"/>
    <w:rsid w:val="00996CFD"/>
    <w:rsid w:val="009A35AD"/>
    <w:rsid w:val="009E2761"/>
    <w:rsid w:val="009F0344"/>
    <w:rsid w:val="009F0443"/>
    <w:rsid w:val="00A005F6"/>
    <w:rsid w:val="00A037E2"/>
    <w:rsid w:val="00A24ADF"/>
    <w:rsid w:val="00A36421"/>
    <w:rsid w:val="00A90F02"/>
    <w:rsid w:val="00AC0921"/>
    <w:rsid w:val="00AC1FA1"/>
    <w:rsid w:val="00AF5BB0"/>
    <w:rsid w:val="00B4684A"/>
    <w:rsid w:val="00B63CCB"/>
    <w:rsid w:val="00B70C35"/>
    <w:rsid w:val="00B75A3B"/>
    <w:rsid w:val="00B82BF5"/>
    <w:rsid w:val="00B866BC"/>
    <w:rsid w:val="00BA0637"/>
    <w:rsid w:val="00BC7F2D"/>
    <w:rsid w:val="00BF51AC"/>
    <w:rsid w:val="00C01F52"/>
    <w:rsid w:val="00C13D34"/>
    <w:rsid w:val="00C15DD9"/>
    <w:rsid w:val="00C26CD7"/>
    <w:rsid w:val="00C61320"/>
    <w:rsid w:val="00C8454B"/>
    <w:rsid w:val="00C85D27"/>
    <w:rsid w:val="00CB0952"/>
    <w:rsid w:val="00CC3673"/>
    <w:rsid w:val="00CC7F85"/>
    <w:rsid w:val="00CD6623"/>
    <w:rsid w:val="00CE4FC0"/>
    <w:rsid w:val="00D02FE7"/>
    <w:rsid w:val="00D053D1"/>
    <w:rsid w:val="00D46282"/>
    <w:rsid w:val="00D47630"/>
    <w:rsid w:val="00D50351"/>
    <w:rsid w:val="00D60E3A"/>
    <w:rsid w:val="00D73E41"/>
    <w:rsid w:val="00D76B04"/>
    <w:rsid w:val="00D9602F"/>
    <w:rsid w:val="00DA0389"/>
    <w:rsid w:val="00DA6953"/>
    <w:rsid w:val="00DC22A8"/>
    <w:rsid w:val="00DE6C78"/>
    <w:rsid w:val="00DE7B53"/>
    <w:rsid w:val="00DF606E"/>
    <w:rsid w:val="00E04BD5"/>
    <w:rsid w:val="00E15B9C"/>
    <w:rsid w:val="00E25FBE"/>
    <w:rsid w:val="00E27342"/>
    <w:rsid w:val="00E44B3C"/>
    <w:rsid w:val="00E518A8"/>
    <w:rsid w:val="00E82A89"/>
    <w:rsid w:val="00E860D9"/>
    <w:rsid w:val="00ED7848"/>
    <w:rsid w:val="00EE58CA"/>
    <w:rsid w:val="00F155F5"/>
    <w:rsid w:val="00F22587"/>
    <w:rsid w:val="00F2505C"/>
    <w:rsid w:val="00FD4549"/>
    <w:rsid w:val="00FF50A3"/>
    <w:rsid w:val="01871893"/>
    <w:rsid w:val="084065FD"/>
    <w:rsid w:val="090A5549"/>
    <w:rsid w:val="14C6312E"/>
    <w:rsid w:val="16FE1B69"/>
    <w:rsid w:val="1C1527FA"/>
    <w:rsid w:val="242F7EE0"/>
    <w:rsid w:val="484C08E8"/>
    <w:rsid w:val="4C7E1B45"/>
    <w:rsid w:val="521E127A"/>
    <w:rsid w:val="53895BBD"/>
    <w:rsid w:val="53A76A77"/>
    <w:rsid w:val="57505E41"/>
    <w:rsid w:val="58C70012"/>
    <w:rsid w:val="5E1F1E9F"/>
    <w:rsid w:val="5FB87AD6"/>
    <w:rsid w:val="66CC5C67"/>
    <w:rsid w:val="7D4A1AA9"/>
    <w:rsid w:val="7EBF65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12209</Words>
  <Characters>12796</Characters>
  <Lines>103</Lines>
  <Paragraphs>29</Paragraphs>
  <TotalTime>2</TotalTime>
  <ScaleCrop>false</ScaleCrop>
  <LinksUpToDate>false</LinksUpToDate>
  <CharactersWithSpaces>13608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2023-04-20T00:19:00Z</dcterms:created>
  <dc:creator>Administrator</dc:creator>
  <cp:lastModifiedBy>阳志</cp:lastModifiedBy>
  <cp:lastPrinted>2023-05-17T02:55:00Z</cp:lastPrinted>
  <dcterms:modified xsi:type="dcterms:W3CDTF">2023-05-19T04:07:27Z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B50BA0AC1B3D4C07B68C7C11D7DFCA9D_13</vt:lpwstr>
  </property>
</Properties>
</file>