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74" w:rsidRDefault="00855FCC"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C61C74" w:rsidRDefault="00855FCC">
      <w:pPr>
        <w:widowControl/>
        <w:ind w:firstLineChars="350" w:firstLine="1260"/>
        <w:jc w:val="left"/>
        <w:rPr>
          <w:rFonts w:eastAsia="黑体"/>
          <w:kern w:val="0"/>
          <w:sz w:val="32"/>
          <w:szCs w:val="32"/>
        </w:rPr>
      </w:pPr>
      <w:r>
        <w:rPr>
          <w:rFonts w:eastAsia="方正小标宋_GBK" w:hint="eastAsia"/>
          <w:bCs/>
          <w:kern w:val="0"/>
          <w:sz w:val="36"/>
          <w:szCs w:val="36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 w:rsidR="00C61C74" w:rsidRDefault="00855FCC"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 w:val="24"/>
          <w:szCs w:val="21"/>
        </w:rPr>
        <w:t xml:space="preserve"> 填报单位：（盖章）</w:t>
      </w:r>
      <w:r>
        <w:rPr>
          <w:rFonts w:ascii="仿宋_GB2312" w:eastAsia="仿宋_GB2312" w:hint="eastAsia"/>
          <w:kern w:val="0"/>
          <w:szCs w:val="21"/>
        </w:rPr>
        <w:tab/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1147"/>
        <w:gridCol w:w="1488"/>
        <w:gridCol w:w="1305"/>
        <w:gridCol w:w="1530"/>
        <w:gridCol w:w="2211"/>
      </w:tblGrid>
      <w:tr w:rsidR="00C61C74">
        <w:trPr>
          <w:trHeight w:val="340"/>
          <w:jc w:val="center"/>
        </w:trPr>
        <w:tc>
          <w:tcPr>
            <w:tcW w:w="1761" w:type="dxa"/>
            <w:noWrap/>
            <w:vAlign w:val="center"/>
          </w:tcPr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noWrap/>
            <w:vAlign w:val="center"/>
          </w:tcPr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邵阳市住房和城乡建设局（邵阳市人民防空办公室）　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 w:val="restart"/>
            <w:noWrap/>
            <w:vAlign w:val="center"/>
          </w:tcPr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年度预算申请</w:t>
            </w:r>
            <w:r>
              <w:rPr>
                <w:rFonts w:ascii="仿宋_GB2312" w:eastAsia="仿宋_GB2312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7681" w:type="dxa"/>
            <w:gridSpan w:val="5"/>
            <w:noWrap/>
            <w:vAlign w:val="center"/>
          </w:tcPr>
          <w:p w:rsidR="00C61C74" w:rsidRDefault="00855FC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资金总额：14676.17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noWrap/>
            <w:vAlign w:val="center"/>
          </w:tcPr>
          <w:p w:rsidR="00C61C74" w:rsidRDefault="00855FC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C61C74" w:rsidRDefault="00855FC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按支出性质分：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noWrap/>
            <w:vAlign w:val="center"/>
          </w:tcPr>
          <w:p w:rsidR="00C61C74" w:rsidRDefault="00855FC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其中：  一般公共预算：1676.17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C61C74" w:rsidRDefault="00855FC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其中： 基本支出：1626.17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noWrap/>
            <w:vAlign w:val="center"/>
          </w:tcPr>
          <w:p w:rsidR="00C61C74" w:rsidRDefault="00855FC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政府性基金拨款：13000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C61C74" w:rsidRDefault="00855FC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项目支出：50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noWrap/>
            <w:vAlign w:val="center"/>
          </w:tcPr>
          <w:p w:rsidR="00C61C74" w:rsidRDefault="00855FC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C61C74" w:rsidRDefault="00062876" w:rsidP="006E09D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非税收入</w:t>
            </w:r>
            <w:r w:rsidR="0054590C">
              <w:rPr>
                <w:rFonts w:ascii="仿宋_GB2312" w:eastAsia="仿宋_GB2312" w:hint="eastAsia"/>
                <w:kern w:val="0"/>
                <w:szCs w:val="21"/>
              </w:rPr>
              <w:t>政府统筹</w:t>
            </w:r>
            <w:r w:rsidR="009D7311">
              <w:rPr>
                <w:rFonts w:ascii="仿宋_GB2312" w:eastAsia="仿宋_GB2312" w:hint="eastAsia"/>
                <w:kern w:val="0"/>
                <w:szCs w:val="21"/>
              </w:rPr>
              <w:t>：</w:t>
            </w:r>
            <w:r w:rsidR="0054590C">
              <w:rPr>
                <w:rFonts w:ascii="仿宋_GB2312" w:eastAsia="仿宋_GB2312" w:hint="eastAsia"/>
                <w:kern w:val="0"/>
                <w:szCs w:val="21"/>
              </w:rPr>
              <w:t>13000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noWrap/>
            <w:vAlign w:val="center"/>
          </w:tcPr>
          <w:p w:rsidR="00C61C74" w:rsidRDefault="00855FC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noWrap/>
            <w:vAlign w:val="center"/>
          </w:tcPr>
          <w:p w:rsidR="00C61C74" w:rsidRDefault="00C61C74" w:rsidP="0054590C">
            <w:pPr>
              <w:widowControl/>
              <w:ind w:firstLineChars="350" w:firstLine="735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61C74">
        <w:trPr>
          <w:trHeight w:val="945"/>
          <w:jc w:val="center"/>
        </w:trPr>
        <w:tc>
          <w:tcPr>
            <w:tcW w:w="1761" w:type="dxa"/>
            <w:noWrap/>
            <w:vAlign w:val="center"/>
          </w:tcPr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部门职能</w:t>
            </w:r>
          </w:p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noWrap/>
            <w:vAlign w:val="center"/>
          </w:tcPr>
          <w:p w:rsidR="00C61C74" w:rsidRPr="007A6A7E" w:rsidRDefault="00855FCC" w:rsidP="007A6A7E">
            <w:pPr>
              <w:widowControl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7A6A7E">
              <w:rPr>
                <w:rFonts w:ascii="仿宋_GB2312" w:eastAsia="仿宋_GB2312" w:hint="eastAsia"/>
                <w:kern w:val="0"/>
                <w:sz w:val="24"/>
              </w:rPr>
              <w:t>邵阳市住房和城乡建设局(邵阳市人民防空办公室)主要职能职责是:1、宣传、贯彻和执行国家、省、市关于住房和城乡建设事业的法律法规和方针政策。 2、依法依规归集应用于住房和城乡建设的各类资金。3、负责住房保障和住房制度改革工作。 4、承担城市新建基础设施建设的计划和监督职责。 5、承担城市设计和建筑勘察设计行业管理的职责。6、承担规范房地产市场秩序、监督管理房地产市场的职责。 7、负责全市建筑市场的监督管理。8、负责指导、监督和协调全市建制镇、集镇、村庄的建设和管理。9、负责全市建筑节能与建设科技工作。10、负责住房和城乡建设（人民防防空）行业人才队伍建设、行业资质和信用信息管理。11、负责拟订住房和城乡建设行业的规范性文件并监督实施；负责住房和城乡建设领域的行政执法监督和依法行政工作；负责检查监督建设行业各类从业人员依法执业情况；指导住房和建设（人民防空）系统普法宣传教育。12、负责宣传贯彻执行建设工程招投标法律、法规；负责受理建设工程招投标投诉，依法查处建设工程招投标活动中的违法违规行为；负责全市建设工程项目标后稽查；负责市本级房屋建筑与市政工程（含装饰装修工程）项目招投标活动的监督管理。13、负责建设工程消防设计审核、消防验收、备案和抽查。14、负责全市建设工程造价管理。15、宣传、贯彻和执行国家、省关于人民防空的法律法规和方针政策，拟订全市人民防空工作的规范性文件，组织编制人民防空建设发展战略、各类规划、年度计划及政策和规章制度并监督执行。负责对县市区人民防空部门进行业务指导。协助地方党委管理县市区人民政府人民防空主管部门领导班子。16、根据国家批准的防护类别、防护标准，会同有关部门组织编制审批城市平战结合防护建设发展规划、城市地下空间开发利用规划、重要经济目标防护规划和人民防空建设规划并监督实施。负责城市地下空间开发利用兼顾人民防空要求的管理和监督检查，依法对城市和重要区位、重要经济目标的人民防空建设进行监督检查。17、组织指导城市人民防空方案制订、群众防空组织（人民防空专业队）建设和训练、防空防灾演练演习、重要经济目标防护演练、疏散体系建设，协助军事部门指导城市防卫建设；负责全市人防行政执法稽查工作。18、组织管理人民防空工程和通信警报、信息化建设。19、会同有关部门组织开展人民防空宣传教育，普及人民防空知识和技能。20、管理人</w:t>
            </w:r>
            <w:r w:rsidRPr="007A6A7E">
              <w:rPr>
                <w:rFonts w:ascii="仿宋_GB2312" w:eastAsia="仿宋_GB2312" w:hint="eastAsia"/>
                <w:kern w:val="0"/>
                <w:sz w:val="24"/>
              </w:rPr>
              <w:lastRenderedPageBreak/>
              <w:t>民防空经费和资产，负责全市人民防空行政性收费管理工作，承担市本级人民防空行政性规费的征收。21、认真贯彻军民融合发展战略和平战结合方针。22、战时组织开展城市人民防空袭斗争。23、完成市委、市政府、邵阳军分区和市国防动员委员会交办的其他任务。</w:t>
            </w:r>
          </w:p>
        </w:tc>
      </w:tr>
      <w:tr w:rsidR="00C61C74">
        <w:trPr>
          <w:trHeight w:val="2652"/>
          <w:jc w:val="center"/>
        </w:trPr>
        <w:tc>
          <w:tcPr>
            <w:tcW w:w="1761" w:type="dxa"/>
            <w:noWrap/>
            <w:vAlign w:val="center"/>
          </w:tcPr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lastRenderedPageBreak/>
              <w:t>整体绩效目标</w:t>
            </w:r>
          </w:p>
        </w:tc>
        <w:tc>
          <w:tcPr>
            <w:tcW w:w="7681" w:type="dxa"/>
            <w:gridSpan w:val="5"/>
            <w:noWrap/>
            <w:vAlign w:val="center"/>
          </w:tcPr>
          <w:p w:rsidR="00C61C74" w:rsidRPr="007A6A7E" w:rsidRDefault="00855FCC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7A6A7E">
              <w:rPr>
                <w:rFonts w:ascii="仿宋_GB2312" w:eastAsia="仿宋_GB2312" w:hint="eastAsia"/>
                <w:color w:val="000000"/>
                <w:sz w:val="24"/>
              </w:rPr>
              <w:t>2021年将重点完成以下工作:</w:t>
            </w:r>
          </w:p>
          <w:p w:rsidR="00C61C74" w:rsidRPr="00F27592" w:rsidRDefault="00F27592" w:rsidP="00F27592">
            <w:pPr>
              <w:widowControl/>
              <w:jc w:val="left"/>
              <w:rPr>
                <w:rFonts w:ascii="仿宋" w:eastAsia="仿宋" w:hAnsi="仿宋" w:cs="仿宋"/>
                <w:color w:val="030303"/>
                <w:szCs w:val="21"/>
              </w:rPr>
            </w:pPr>
            <w:r w:rsidRPr="007A6A7E">
              <w:rPr>
                <w:rStyle w:val="a5"/>
                <w:rFonts w:ascii="仿宋_GB2312" w:eastAsia="仿宋_GB2312" w:hAnsi="仿宋" w:cs="仿宋" w:hint="eastAsia"/>
                <w:b w:val="0"/>
                <w:color w:val="030303"/>
                <w:sz w:val="24"/>
              </w:rPr>
              <w:t>1、继续推进棚户区改造工作。2、加快超期安置项目交付入住。3、加快推进老旧小区改造。4</w:t>
            </w:r>
            <w:r w:rsidRPr="007A6A7E">
              <w:rPr>
                <w:rStyle w:val="a5"/>
                <w:rFonts w:ascii="仿宋_GB2312" w:eastAsia="仿宋_GB2312" w:hAnsi="仿宋" w:cs="仿宋" w:hint="eastAsia"/>
                <w:color w:val="030303"/>
                <w:sz w:val="24"/>
              </w:rPr>
              <w:t>、</w:t>
            </w:r>
            <w:r w:rsidRPr="007A6A7E">
              <w:rPr>
                <w:rFonts w:ascii="仿宋_GB2312" w:eastAsia="仿宋_GB2312" w:hAnsi="仿宋" w:cs="仿宋" w:hint="eastAsia"/>
                <w:bCs/>
                <w:color w:val="000000"/>
                <w:sz w:val="24"/>
                <w:shd w:val="clear" w:color="auto" w:fill="FFFFFF"/>
              </w:rPr>
              <w:t>抓好房地产市场调控和监管。5、</w:t>
            </w:r>
            <w:r w:rsidRPr="007A6A7E">
              <w:rPr>
                <w:rFonts w:ascii="仿宋_GB2312" w:eastAsia="仿宋_GB2312" w:hAnsi="仿宋" w:cs="仿宋" w:hint="eastAsia"/>
                <w:bCs/>
                <w:sz w:val="24"/>
              </w:rPr>
              <w:t>进一步提高物业管理水平</w:t>
            </w:r>
            <w:r w:rsidR="0029435F" w:rsidRPr="007A6A7E">
              <w:rPr>
                <w:rFonts w:ascii="仿宋_GB2312" w:eastAsia="仿宋_GB2312" w:hAnsi="仿宋" w:cs="仿宋" w:hint="eastAsia"/>
                <w:bCs/>
                <w:sz w:val="24"/>
              </w:rPr>
              <w:t>。6、加快城乡环境基础设施建设。7、规范农村住房建设管理。8、加强传统村落保护利用。9、</w:t>
            </w:r>
            <w:r w:rsidR="0029435F" w:rsidRPr="007A6A7E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加快完善建筑市场管理机制。10、</w:t>
            </w:r>
            <w:r w:rsidR="0029435F" w:rsidRPr="007A6A7E">
              <w:rPr>
                <w:rFonts w:ascii="仿宋_GB2312" w:eastAsia="仿宋_GB2312" w:hAnsi="楷体" w:cs="楷体" w:hint="eastAsia"/>
                <w:bCs/>
                <w:sz w:val="24"/>
              </w:rPr>
              <w:t>深化工程建设项目审批制度改革</w:t>
            </w:r>
            <w:r w:rsidR="007A6A7E" w:rsidRPr="007A6A7E">
              <w:rPr>
                <w:rFonts w:ascii="仿宋_GB2312" w:eastAsia="仿宋_GB2312" w:hAnsi="楷体" w:cs="楷体" w:hint="eastAsia"/>
                <w:bCs/>
                <w:sz w:val="24"/>
              </w:rPr>
              <w:t>。11、坚持人防行业治理与人防工程建设相统一。12、</w:t>
            </w:r>
            <w:r w:rsidR="007A6A7E" w:rsidRPr="007A6A7E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加快推进建筑业转型升级</w:t>
            </w:r>
            <w:r w:rsidR="007A6A7E" w:rsidRPr="007A6A7E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。</w:t>
            </w:r>
            <w:r w:rsidR="007A6A7E" w:rsidRPr="007A6A7E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持续确保建筑工程质量安全</w:t>
            </w:r>
            <w:r w:rsidR="007A6A7E">
              <w:rPr>
                <w:rFonts w:ascii="仿宋_GB2312" w:eastAsia="仿宋_GB2312" w:hAnsi="仿宋" w:cs="仿宋" w:hint="eastAsia"/>
                <w:bCs/>
                <w:color w:val="000000"/>
                <w:sz w:val="24"/>
              </w:rPr>
              <w:t>。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 w:val="restart"/>
            <w:noWrap/>
            <w:vAlign w:val="center"/>
          </w:tcPr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部门整体支出</w:t>
            </w:r>
          </w:p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noWrap/>
            <w:vAlign w:val="center"/>
          </w:tcPr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一级指标</w:t>
            </w:r>
          </w:p>
        </w:tc>
        <w:tc>
          <w:tcPr>
            <w:tcW w:w="1488" w:type="dxa"/>
            <w:noWrap/>
            <w:vAlign w:val="center"/>
          </w:tcPr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二级指标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三级指标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指标值及单位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noWrap/>
            <w:vAlign w:val="center"/>
          </w:tcPr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产出指标</w:t>
            </w:r>
          </w:p>
        </w:tc>
        <w:tc>
          <w:tcPr>
            <w:tcW w:w="1488" w:type="dxa"/>
            <w:vMerge w:val="restart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数量指标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建设污水处理厂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32个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农村危房改造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1800户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棚户区改造新建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108套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中国传统村落数字博物馆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15个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老旧小区改造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217个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质量指标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污水处理厂建设开工率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ind w:firstLineChars="200" w:firstLine="42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棚户区改造开工率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FB3F2C" w:rsidP="00FB3F2C">
            <w:pPr>
              <w:ind w:firstLineChars="250" w:firstLine="525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业主投诉率</w:t>
            </w:r>
          </w:p>
        </w:tc>
        <w:tc>
          <w:tcPr>
            <w:tcW w:w="2211" w:type="dxa"/>
            <w:noWrap/>
            <w:vAlign w:val="center"/>
          </w:tcPr>
          <w:p w:rsidR="00C61C74" w:rsidRDefault="00FB3F2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≤50%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ind w:firstLineChars="200" w:firstLine="42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农村危房改造完成率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成本指标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棚户区改造成本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尽量降低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“三公”经费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持续减少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日常公用经费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尽量降低</w:t>
            </w:r>
          </w:p>
        </w:tc>
      </w:tr>
      <w:tr w:rsidR="00C61C74">
        <w:trPr>
          <w:trHeight w:val="457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时效指标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各项工作按期完成率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100%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noWrap/>
            <w:vAlign w:val="center"/>
          </w:tcPr>
          <w:p w:rsidR="00C61C74" w:rsidRDefault="00855FCC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效益指标</w:t>
            </w:r>
          </w:p>
        </w:tc>
        <w:tc>
          <w:tcPr>
            <w:tcW w:w="1488" w:type="dxa"/>
            <w:vMerge w:val="restart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经济效益指标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资金使用效率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≥95%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ind w:firstLineChars="300" w:firstLine="63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固定资产使用率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≥95%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社会效益指标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村容村貌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有所改善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ind w:firstLineChars="400" w:firstLine="84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单位公信力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有所提高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ind w:firstLineChars="400" w:firstLine="84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市区居住环境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有所改善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生态效益指标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农村生活垃圾分类处理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农村环境有所改善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乡镇污水处理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乡镇环境有所改善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蓝天保卫战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市区环境有所改善</w:t>
            </w:r>
            <w:bookmarkStart w:id="0" w:name="_GoBack"/>
            <w:bookmarkEnd w:id="0"/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可持续影响指标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建筑行业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持续规范发展</w:t>
            </w:r>
          </w:p>
        </w:tc>
      </w:tr>
      <w:tr w:rsidR="00C61C74">
        <w:trPr>
          <w:trHeight w:val="316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ind w:firstLineChars="400" w:firstLine="84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房地产市场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持续健康发展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社会公众或服务对象满意度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群众满意度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≥95%</w:t>
            </w:r>
          </w:p>
        </w:tc>
      </w:tr>
      <w:tr w:rsidR="00C61C74">
        <w:trPr>
          <w:trHeight w:val="340"/>
          <w:jc w:val="center"/>
        </w:trPr>
        <w:tc>
          <w:tcPr>
            <w:tcW w:w="1761" w:type="dxa"/>
            <w:vMerge/>
            <w:noWrap/>
            <w:vAlign w:val="center"/>
          </w:tcPr>
          <w:p w:rsidR="00C61C74" w:rsidRDefault="00C61C7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/>
            <w:noWrap/>
            <w:vAlign w:val="center"/>
          </w:tcPr>
          <w:p w:rsidR="00C61C74" w:rsidRDefault="00C61C7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88" w:type="dxa"/>
            <w:vMerge/>
            <w:noWrap/>
            <w:vAlign w:val="center"/>
          </w:tcPr>
          <w:p w:rsidR="00C61C74" w:rsidRDefault="00C61C74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企业满意度</w:t>
            </w:r>
          </w:p>
        </w:tc>
        <w:tc>
          <w:tcPr>
            <w:tcW w:w="2211" w:type="dxa"/>
            <w:noWrap/>
            <w:vAlign w:val="center"/>
          </w:tcPr>
          <w:p w:rsidR="00C61C74" w:rsidRDefault="00855FCC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≥95%</w:t>
            </w:r>
          </w:p>
        </w:tc>
      </w:tr>
    </w:tbl>
    <w:p w:rsidR="00C61C74" w:rsidRDefault="00C61C74"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sectPr w:rsidR="00C61C74" w:rsidSect="00C6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7B" w:rsidRDefault="00F2377B" w:rsidP="00F27592">
      <w:r>
        <w:separator/>
      </w:r>
    </w:p>
  </w:endnote>
  <w:endnote w:type="continuationSeparator" w:id="0">
    <w:p w:rsidR="00F2377B" w:rsidRDefault="00F2377B" w:rsidP="00F2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7B" w:rsidRDefault="00F2377B" w:rsidP="00F27592">
      <w:r>
        <w:separator/>
      </w:r>
    </w:p>
  </w:footnote>
  <w:footnote w:type="continuationSeparator" w:id="0">
    <w:p w:rsidR="00F2377B" w:rsidRDefault="00F2377B" w:rsidP="00F27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D0D76"/>
    <w:multiLevelType w:val="hybridMultilevel"/>
    <w:tmpl w:val="BF90B18E"/>
    <w:lvl w:ilvl="0" w:tplc="C3AAD638">
      <w:start w:val="1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E924D4"/>
    <w:rsid w:val="00062876"/>
    <w:rsid w:val="000C436E"/>
    <w:rsid w:val="000E1BC8"/>
    <w:rsid w:val="000E5D97"/>
    <w:rsid w:val="001D2575"/>
    <w:rsid w:val="0029435F"/>
    <w:rsid w:val="002A7135"/>
    <w:rsid w:val="002E6370"/>
    <w:rsid w:val="00361832"/>
    <w:rsid w:val="0042527D"/>
    <w:rsid w:val="004A246E"/>
    <w:rsid w:val="0054590C"/>
    <w:rsid w:val="00553B46"/>
    <w:rsid w:val="00572877"/>
    <w:rsid w:val="00620D30"/>
    <w:rsid w:val="006534A1"/>
    <w:rsid w:val="006A0C39"/>
    <w:rsid w:val="006C0409"/>
    <w:rsid w:val="006E09D1"/>
    <w:rsid w:val="007A56F6"/>
    <w:rsid w:val="007A6A7E"/>
    <w:rsid w:val="007A7A2F"/>
    <w:rsid w:val="007B06C6"/>
    <w:rsid w:val="007B2B43"/>
    <w:rsid w:val="007D29E4"/>
    <w:rsid w:val="008219CE"/>
    <w:rsid w:val="00821BEA"/>
    <w:rsid w:val="00837D53"/>
    <w:rsid w:val="00855FCC"/>
    <w:rsid w:val="009003D0"/>
    <w:rsid w:val="009134E9"/>
    <w:rsid w:val="00914C7A"/>
    <w:rsid w:val="009361FD"/>
    <w:rsid w:val="0093775C"/>
    <w:rsid w:val="00962AD7"/>
    <w:rsid w:val="009D7311"/>
    <w:rsid w:val="009E717F"/>
    <w:rsid w:val="00A17326"/>
    <w:rsid w:val="00B555F7"/>
    <w:rsid w:val="00B55BED"/>
    <w:rsid w:val="00B7792F"/>
    <w:rsid w:val="00BF4C31"/>
    <w:rsid w:val="00C61C74"/>
    <w:rsid w:val="00C7446F"/>
    <w:rsid w:val="00CE6542"/>
    <w:rsid w:val="00D31A16"/>
    <w:rsid w:val="00E825DA"/>
    <w:rsid w:val="00F2377B"/>
    <w:rsid w:val="00F27592"/>
    <w:rsid w:val="00F63586"/>
    <w:rsid w:val="00F754A2"/>
    <w:rsid w:val="00F85786"/>
    <w:rsid w:val="00F87723"/>
    <w:rsid w:val="00FB3F2C"/>
    <w:rsid w:val="00FD29FD"/>
    <w:rsid w:val="49E924D4"/>
    <w:rsid w:val="55E52224"/>
    <w:rsid w:val="6AB1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C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61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6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61C7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61C7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qFormat/>
    <w:rsid w:val="00F27592"/>
    <w:rPr>
      <w:b/>
    </w:rPr>
  </w:style>
  <w:style w:type="paragraph" w:styleId="a6">
    <w:name w:val="List Paragraph"/>
    <w:basedOn w:val="a"/>
    <w:uiPriority w:val="99"/>
    <w:unhideWhenUsed/>
    <w:rsid w:val="00F275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24</cp:revision>
  <cp:lastPrinted>2020-12-31T06:34:00Z</cp:lastPrinted>
  <dcterms:created xsi:type="dcterms:W3CDTF">2020-12-09T00:42:00Z</dcterms:created>
  <dcterms:modified xsi:type="dcterms:W3CDTF">2021-01-03T12:17:00Z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