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四起未实行网上电子化交易的工程项目、招标人、代理机构、行政监管部门汇表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3685"/>
        <w:gridCol w:w="2694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ascii="黑体" w:hAnsi="黑体" w:eastAsia="黑体"/>
                <w:sz w:val="32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ascii="黑体" w:hAnsi="黑体" w:eastAsia="黑体"/>
                <w:sz w:val="32"/>
              </w:rPr>
              <w:t>工程项目名称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ascii="黑体" w:hAnsi="黑体" w:eastAsia="黑体"/>
                <w:sz w:val="32"/>
              </w:rPr>
              <w:t>招标人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ascii="黑体" w:hAnsi="黑体" w:eastAsia="黑体"/>
                <w:sz w:val="32"/>
              </w:rPr>
              <w:t>招投标代理机构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ascii="黑体" w:hAnsi="黑体" w:eastAsia="黑体"/>
                <w:sz w:val="32"/>
              </w:rPr>
              <w:t>行政监督部门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新宁县崀山风景名胜区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南大门综合工程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湖南崀山恒源国际旅游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发展有限公司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北京江河润泽工程管理咨询有限公司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新宁县建设工程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招标投标管理办公室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邵东市生态产业园排头村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安置区道路及附属工程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湖南邵东新农村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建设投资有限公司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湖南天策咨询管理有限公司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邵东市建设工程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招标投标管理办公室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武冈市稠树塘镇中心小学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新建初中部项目附属工程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武冈市稠树塘镇中心小学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北京江河润泽工程管理咨询有限公司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武冈市建设工程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招标投标管理办公室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新宁县水头农贸市场建设工程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新宁县市场管理中心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湖南洞庭项目管理有限公司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新宁县建设工程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招标投标管理办公室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E0"/>
    <w:rsid w:val="000A289D"/>
    <w:rsid w:val="004A0F88"/>
    <w:rsid w:val="005A1319"/>
    <w:rsid w:val="00B023C7"/>
    <w:rsid w:val="00B667E0"/>
    <w:rsid w:val="00F20C43"/>
    <w:rsid w:val="61D576FA"/>
    <w:rsid w:val="66E2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</Words>
  <Characters>297</Characters>
  <Lines>2</Lines>
  <Paragraphs>1</Paragraphs>
  <TotalTime>16</TotalTime>
  <ScaleCrop>false</ScaleCrop>
  <LinksUpToDate>false</LinksUpToDate>
  <CharactersWithSpaces>347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2020-07-22T08:37:00Z</dcterms:created>
  <dc:creator>user</dc:creator>
  <cp:lastModifiedBy>Administrator</cp:lastModifiedBy>
  <cp:lastPrinted>2020-07-22T08:53:00Z</cp:lastPrinted>
  <dcterms:modified xsi:type="dcterms:W3CDTF">2020-07-27T01:39:41Z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