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3" w:lineRule="atLeast"/>
        <w:rPr>
          <w:rFonts w:ascii="黑体" w:hAnsi="黑体" w:eastAsia="黑体" w:cs="Times New Roman"/>
          <w:sz w:val="32"/>
          <w:szCs w:val="32"/>
        </w:rPr>
      </w:pPr>
      <w:r>
        <w:rPr>
          <w:rFonts w:hint="eastAsia" w:ascii="黑体" w:hAnsi="黑体" w:eastAsia="黑体" w:cs="仿宋_GB2312"/>
          <w:sz w:val="32"/>
          <w:szCs w:val="32"/>
        </w:rPr>
        <w:t>附件</w:t>
      </w:r>
      <w:r>
        <w:rPr>
          <w:rFonts w:hint="eastAsia" w:ascii="黑体" w:hAnsi="黑体" w:eastAsia="黑体" w:cs="Times New Roman"/>
          <w:sz w:val="32"/>
          <w:szCs w:val="32"/>
        </w:rPr>
        <w:t>4</w:t>
      </w:r>
    </w:p>
    <w:p>
      <w:pPr>
        <w:pStyle w:val="2"/>
        <w:widowControl/>
        <w:spacing w:beforeAutospacing="0" w:afterAutospacing="0" w:line="72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资格审查提交材料要求</w:t>
      </w:r>
    </w:p>
    <w:p>
      <w:pPr>
        <w:pStyle w:val="2"/>
        <w:widowControl/>
        <w:spacing w:beforeAutospacing="0" w:afterAutospacing="0" w:line="540" w:lineRule="exact"/>
        <w:ind w:firstLine="643" w:firstLineChars="200"/>
        <w:jc w:val="center"/>
        <w:rPr>
          <w:rFonts w:ascii="楷体_GB2312" w:hAnsi="仿宋_GB2312" w:eastAsia="楷体_GB2312" w:cs="楷体_GB2312"/>
          <w:b/>
          <w:bCs/>
          <w:sz w:val="32"/>
          <w:szCs w:val="32"/>
        </w:rPr>
      </w:pPr>
    </w:p>
    <w:p>
      <w:pPr>
        <w:pStyle w:val="2"/>
        <w:widowControl/>
        <w:spacing w:beforeAutospacing="0" w:afterAutospacing="0" w:line="33" w:lineRule="atLeast"/>
        <w:ind w:firstLine="640" w:firstLineChars="200"/>
        <w:jc w:val="both"/>
        <w:rPr>
          <w:rFonts w:ascii="Times New Roman" w:hAnsi="Times New Roman" w:eastAsia="仿宋_GB2312" w:cs="Times New Roman"/>
          <w:sz w:val="30"/>
          <w:szCs w:val="30"/>
        </w:rPr>
      </w:pPr>
      <w:r>
        <w:rPr>
          <w:rFonts w:hint="eastAsia" w:ascii="Times New Roman" w:hAnsi="仿宋_GB2312" w:eastAsia="仿宋_GB2312" w:cs="仿宋_GB2312"/>
          <w:sz w:val="32"/>
          <w:szCs w:val="32"/>
        </w:rPr>
        <w:t>资格审查部门要切实优化公共服务流程，大力简化办事手续，不得要求报考人员提供各类无谓的证明，不得进行</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循环证明</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验证，尽可能使报考人员报考更方便更顺畅。</w:t>
      </w:r>
    </w:p>
    <w:p>
      <w:pPr>
        <w:pStyle w:val="2"/>
        <w:widowControl/>
        <w:spacing w:beforeAutospacing="0" w:afterAutospacing="0" w:line="540" w:lineRule="exact"/>
        <w:ind w:firstLine="640" w:firstLineChars="200"/>
        <w:jc w:val="both"/>
        <w:rPr>
          <w:rFonts w:ascii="黑体" w:hAnsi="Times New Roman" w:eastAsia="黑体" w:cs="Times New Roman"/>
          <w:bCs/>
          <w:sz w:val="32"/>
          <w:szCs w:val="32"/>
        </w:rPr>
      </w:pPr>
      <w:r>
        <w:rPr>
          <w:rFonts w:hint="eastAsia" w:ascii="黑体" w:hAnsi="Times New Roman" w:eastAsia="黑体" w:cs="Times New Roman"/>
          <w:bCs/>
          <w:sz w:val="32"/>
          <w:szCs w:val="32"/>
        </w:rPr>
        <w:t>一</w:t>
      </w:r>
      <w:r>
        <w:rPr>
          <w:rFonts w:hint="eastAsia" w:ascii="黑体" w:hAnsi="仿宋_GB2312" w:eastAsia="黑体" w:cs="仿宋_GB2312"/>
          <w:bCs/>
          <w:sz w:val="32"/>
          <w:szCs w:val="32"/>
        </w:rPr>
        <w:t>、初审材料要求</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1．《考试登记表》</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份，存入个人人事档案，网上报名系统自行打印（</w:t>
      </w:r>
      <w:r>
        <w:rPr>
          <w:rFonts w:ascii="Times New Roman" w:hAnsi="Times New Roman" w:eastAsia="仿宋_GB2312" w:cs="Times New Roman"/>
          <w:sz w:val="32"/>
          <w:szCs w:val="32"/>
        </w:rPr>
        <w:t>A4</w:t>
      </w:r>
      <w:r>
        <w:rPr>
          <w:rFonts w:hint="eastAsia" w:ascii="Times New Roman" w:hAnsi="仿宋_GB2312" w:eastAsia="仿宋_GB2312" w:cs="仿宋_GB2312"/>
          <w:sz w:val="32"/>
          <w:szCs w:val="32"/>
        </w:rPr>
        <w:t>纸双面打印）；</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2．《告知承诺书》</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份，存入个人人事档案；</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3．身份证件；</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4．毕业证件。</w:t>
      </w:r>
    </w:p>
    <w:p>
      <w:pPr>
        <w:pStyle w:val="2"/>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仿宋_GB2312"/>
          <w:sz w:val="32"/>
          <w:szCs w:val="32"/>
        </w:rPr>
        <w:t>（1）持有教育部门学历的报考人员，所在单位初审应查验：</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 xml:space="preserve">2002年（毕业时间）起已在高校学生学历信息管理系统相关数据库中注册的高等教育学历证书，查验在学信网（www.chsi.com.cn）下载的《教育部学历证书电子注册备案表》；2002年以前的高等教育学历证书，以及2002年之后未在高校学生学历信息管理系统相关数据库中注册的高等教育学历证书，查验学信网网上免费申请的学历认证报告（相关申请资料准备情况详见学信网要求）。 </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2005年6月起毕业的湖南省中等职业学校，查验在湖南省中等职业学校毕业证查询系统（http://zcc.hnedu.cn/zzfind/）认定结果。2005年6月前毕业的湖南省中等职业学校毕业生的毕业证书，查验省教育厅学历认证报告。特别提醒：教育部门核验未注册学历学位证书需要一定时间（20个工作日），请报考人员提前做好准备。联系地址：湖南省教育厅湖南省大中专学校学生信息咨询与就业指导中心(长沙市雨花区新建西路37号)，联系电话：0731-82816660，0731-82816670）。</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取得国（境）外学历学位的，所在单位查验教育部留学服务中心中国留学网（http://www.cscse.edu.cn）学历学位认证查验证明材料。</w:t>
      </w:r>
    </w:p>
    <w:p>
      <w:pPr>
        <w:pStyle w:val="2"/>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Times New Roman"/>
          <w:sz w:val="32"/>
          <w:szCs w:val="32"/>
        </w:rPr>
        <w:t>2</w:t>
      </w:r>
      <w:r>
        <w:rPr>
          <w:rFonts w:hint="eastAsia" w:ascii="Times New Roman" w:hAnsi="仿宋_GB2312" w:eastAsia="仿宋_GB2312" w:cs="仿宋_GB2312"/>
          <w:sz w:val="32"/>
          <w:szCs w:val="32"/>
        </w:rPr>
        <w:t>）根据“技师学院高级工班、预备技师（技师）班毕业生，按照全日制大专学历享受相应待遇政策”“高级技工学校、技工学校毕业生按照全日制中专学历享受相应待遇政策”等相关规定，持有技工院校毕业学历的报考人员，所在单位初审应查验：</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2005年至2013年技工院校毕业的，查验湖南省人力资源和社会保障厅官网办事大厅技工院校毕业证书查询系统(http://222.240.173.83/hunanweb/guide/GuideAction!guideInfo.action?work_item_id=156&amp;work_sub=1)认定结果；</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2015年以后技工院校毕业的，查验人力资源社会保障部全国毕业证书查询系统（http://</w:t>
      </w:r>
      <w:r>
        <w:fldChar w:fldCharType="begin"/>
      </w:r>
      <w:r>
        <w:instrText xml:space="preserve"> HYPERLINK "http://www.jxzs.mohrss.gov.cn/" </w:instrText>
      </w:r>
      <w:r>
        <w:fldChar w:fldCharType="separate"/>
      </w:r>
      <w:r>
        <w:rPr>
          <w:rFonts w:hint="eastAsia" w:ascii="Times New Roman" w:hAnsi="仿宋_GB2312" w:eastAsia="仿宋_GB2312" w:cs="仿宋_GB2312"/>
          <w:sz w:val="32"/>
          <w:szCs w:val="32"/>
        </w:rPr>
        <w:t>www.jxzs.mohrss.gov.cn/</w:t>
      </w:r>
      <w:r>
        <w:rPr>
          <w:rFonts w:hint="eastAsia" w:ascii="Times New Roman" w:hAnsi="仿宋_GB2312" w:eastAsia="仿宋_GB2312" w:cs="仿宋_GB2312"/>
          <w:sz w:val="32"/>
          <w:szCs w:val="32"/>
        </w:rPr>
        <w:fldChar w:fldCharType="end"/>
      </w:r>
      <w:r>
        <w:rPr>
          <w:rFonts w:hint="eastAsia" w:ascii="Times New Roman" w:hAnsi="仿宋_GB2312" w:eastAsia="仿宋_GB2312" w:cs="仿宋_GB2312"/>
          <w:sz w:val="32"/>
          <w:szCs w:val="32"/>
        </w:rPr>
        <w:t>）认定结果；</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其他年份毕业的，查验省人力资源社会保障厅职业能力建设处学籍认定结果。</w:t>
      </w:r>
    </w:p>
    <w:p>
      <w:pPr>
        <w:pStyle w:val="2"/>
        <w:widowControl/>
        <w:spacing w:beforeAutospacing="0" w:afterAutospacing="0" w:line="540" w:lineRule="exact"/>
        <w:ind w:firstLine="640" w:firstLineChars="200"/>
        <w:jc w:val="both"/>
        <w:rPr>
          <w:rFonts w:ascii="黑体" w:hAnsi="Times New Roman" w:eastAsia="黑体" w:cs="Times New Roman"/>
          <w:bCs/>
          <w:sz w:val="32"/>
          <w:szCs w:val="32"/>
        </w:rPr>
      </w:pPr>
      <w:r>
        <w:rPr>
          <w:rFonts w:hint="eastAsia" w:ascii="黑体" w:hAnsi="Times New Roman" w:eastAsia="黑体" w:cs="Times New Roman"/>
          <w:bCs/>
          <w:sz w:val="32"/>
          <w:szCs w:val="32"/>
        </w:rPr>
        <w:t>二、</w:t>
      </w:r>
      <w:r>
        <w:rPr>
          <w:rFonts w:hint="eastAsia" w:ascii="黑体" w:hAnsi="仿宋_GB2312" w:eastAsia="黑体" w:cs="仿宋_GB2312"/>
          <w:bCs/>
          <w:sz w:val="32"/>
          <w:szCs w:val="32"/>
        </w:rPr>
        <w:t>复审材料要求</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1．已经所在单位初审后签字、盖章的《考试登记表》和《告知承诺书》各</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份；</w:t>
      </w:r>
    </w:p>
    <w:p>
      <w:pPr>
        <w:pStyle w:val="2"/>
        <w:widowControl/>
        <w:spacing w:beforeAutospacing="0" w:afterAutospacing="0" w:line="540" w:lineRule="exact"/>
        <w:ind w:firstLine="640" w:firstLineChars="200"/>
        <w:jc w:val="both"/>
        <w:rPr>
          <w:rFonts w:ascii="Times New Roman" w:hAnsi="仿宋_GB2312" w:eastAsia="仿宋_GB2312" w:cs="仿宋_GB2312"/>
          <w:sz w:val="32"/>
          <w:szCs w:val="32"/>
        </w:rPr>
      </w:pPr>
      <w:r>
        <w:rPr>
          <w:rFonts w:hint="eastAsia" w:ascii="Times New Roman" w:hAnsi="仿宋_GB2312" w:eastAsia="仿宋_GB2312" w:cs="仿宋_GB2312"/>
          <w:sz w:val="32"/>
          <w:szCs w:val="32"/>
        </w:rPr>
        <w:t>2．《</w:t>
      </w:r>
      <w:r>
        <w:rPr>
          <w:rFonts w:ascii="Times New Roman" w:hAnsi="Times New Roman" w:eastAsia="仿宋_GB2312" w:cs="Times New Roman"/>
          <w:sz w:val="32"/>
          <w:szCs w:val="32"/>
        </w:rPr>
        <w:t>2019</w:t>
      </w:r>
      <w:r>
        <w:rPr>
          <w:rFonts w:hint="eastAsia" w:ascii="Times New Roman" w:hAnsi="仿宋_GB2312" w:eastAsia="仿宋_GB2312" w:cs="仿宋_GB2312"/>
          <w:sz w:val="32"/>
          <w:szCs w:val="32"/>
        </w:rPr>
        <w:t>年土建工程专业初中级职称考试报考人员名册》</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份；</w:t>
      </w:r>
    </w:p>
    <w:p>
      <w:pPr>
        <w:pStyle w:val="2"/>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仿宋_GB2312"/>
          <w:sz w:val="32"/>
          <w:szCs w:val="32"/>
        </w:rPr>
        <w:t>3．所在单位初审查验结果。</w:t>
      </w:r>
    </w:p>
    <w:p>
      <w:pPr>
        <w:pStyle w:val="2"/>
        <w:widowControl/>
        <w:spacing w:beforeAutospacing="0" w:afterAutospacing="0" w:line="540" w:lineRule="exact"/>
        <w:ind w:firstLine="640" w:firstLineChars="200"/>
        <w:jc w:val="both"/>
        <w:rPr>
          <w:rFonts w:ascii="黑体" w:hAnsi="Times New Roman" w:eastAsia="黑体" w:cs="Times New Roman"/>
          <w:bCs/>
          <w:sz w:val="32"/>
          <w:szCs w:val="32"/>
        </w:rPr>
      </w:pPr>
      <w:r>
        <w:rPr>
          <w:rFonts w:hint="eastAsia" w:ascii="黑体" w:hAnsi="Times New Roman" w:eastAsia="黑体" w:cs="Times New Roman"/>
          <w:bCs/>
          <w:sz w:val="32"/>
          <w:szCs w:val="32"/>
        </w:rPr>
        <w:t>三、</w:t>
      </w:r>
      <w:r>
        <w:rPr>
          <w:rFonts w:hint="eastAsia" w:ascii="黑体" w:hAnsi="仿宋_GB2312" w:eastAsia="黑体" w:cs="仿宋_GB2312"/>
          <w:bCs/>
          <w:sz w:val="32"/>
          <w:szCs w:val="32"/>
        </w:rPr>
        <w:t>有关要求</w:t>
      </w:r>
    </w:p>
    <w:p>
      <w:pPr>
        <w:pStyle w:val="2"/>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仿宋_GB2312"/>
          <w:sz w:val="32"/>
          <w:szCs w:val="32"/>
        </w:rPr>
        <w:t>1．资格初审时，由报考人员提供身份证、学历（学位）证、资格证等原件。所在单位初审时，认为需留存备用备查的，可复印核对后，在复印件上签署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与原件核对一致</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，原件退还报考人员。</w:t>
      </w:r>
    </w:p>
    <w:p>
      <w:pPr>
        <w:pStyle w:val="2"/>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仿宋_GB2312"/>
          <w:sz w:val="32"/>
          <w:szCs w:val="32"/>
        </w:rPr>
        <w:t>2．资格复审时，主要对初审查验结果进行审核，重点对初审单位出具的查询认证情况进一步确认。复审时不得再要求报考人员提供原件。</w:t>
      </w:r>
    </w:p>
    <w:p>
      <w:r>
        <w:rPr>
          <w:rFonts w:hint="eastAsia" w:ascii="Times New Roman" w:hAnsi="仿宋_GB2312" w:eastAsia="仿宋_GB2312" w:cs="仿宋_GB2312"/>
          <w:sz w:val="32"/>
          <w:szCs w:val="32"/>
        </w:rPr>
        <w:t>3．所有材料复印件须使用</w:t>
      </w:r>
      <w:r>
        <w:rPr>
          <w:rFonts w:ascii="Times New Roman" w:hAnsi="Times New Roman" w:eastAsia="仿宋_GB2312" w:cs="Times New Roman"/>
          <w:sz w:val="32"/>
          <w:szCs w:val="32"/>
        </w:rPr>
        <w:t>A4</w:t>
      </w:r>
      <w:r>
        <w:rPr>
          <w:rFonts w:hint="eastAsia" w:ascii="Times New Roman" w:hAnsi="仿宋_GB2312" w:eastAsia="仿宋_GB2312" w:cs="仿宋_GB2312"/>
          <w:sz w:val="32"/>
          <w:szCs w:val="32"/>
        </w:rPr>
        <w:t>纸并加盖单位公章，《考试登记表》《告知承诺书》相关栏目还需验证人签名负责，严格执行</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谁审查，谁签名，谁负责</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的审查管理制度。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34D60"/>
    <w:rsid w:val="4593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2019-07-02T02:39:00Z</dcterms:created>
  <dc:creator>Administrator</dc:creator>
  <cp:lastModifiedBy>Administrator</cp:lastModifiedBy>
  <dcterms:modified xsi:type="dcterms:W3CDTF">2019-07-02T02:39:57Z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